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A32D" w14:textId="1A472D15" w:rsidR="007609A8" w:rsidRDefault="00392F8C" w:rsidP="007609A8">
      <w:pPr>
        <w:rPr>
          <w:b/>
          <w:bCs/>
          <w:sz w:val="60"/>
          <w:szCs w:val="60"/>
        </w:rPr>
      </w:pPr>
      <w:r w:rsidRPr="006D4E67">
        <w:rPr>
          <w:rFonts w:asciiTheme="majorHAnsi" w:hAnsiTheme="majorHAnsi"/>
          <w:noProof/>
          <w:lang w:eastAsia="en-GB"/>
        </w:rPr>
        <mc:AlternateContent>
          <mc:Choice Requires="wps">
            <w:drawing>
              <wp:anchor distT="4294967295" distB="4294967295" distL="114300" distR="114300" simplePos="0" relativeHeight="251658240" behindDoc="0" locked="0" layoutInCell="1" allowOverlap="1" wp14:anchorId="7DE2F992" wp14:editId="46A9ABFD">
                <wp:simplePos x="0" y="0"/>
                <wp:positionH relativeFrom="margin">
                  <wp:align>left</wp:align>
                </wp:positionH>
                <wp:positionV relativeFrom="paragraph">
                  <wp:posOffset>1097280</wp:posOffset>
                </wp:positionV>
                <wp:extent cx="4221480" cy="7620"/>
                <wp:effectExtent l="0" t="0" r="26670" b="3048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21480" cy="762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CE323F" id="Straight Connector 2" o:spid="_x0000_s1026" style="position:absolute;flip:y;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6.4pt" to="332.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" strokecolor="black [3213]" strokeweight=".5pt">
                <v:stroke joinstyle="miter"/>
                <o:lock v:ext="edit" shapetype="f"/>
                <w10:wrap anchorx="margin"/>
              </v:line>
            </w:pict>
          </mc:Fallback>
        </mc:AlternateContent>
      </w:r>
      <w:r w:rsidR="007609A8" w:rsidRPr="007609A8">
        <w:rPr>
          <w:b/>
          <w:bCs/>
          <w:sz w:val="60"/>
          <w:szCs w:val="60"/>
        </w:rPr>
        <w:t xml:space="preserve">Universal guidance for archaeological </w:t>
      </w:r>
      <w:r w:rsidR="008F3294">
        <w:rPr>
          <w:b/>
          <w:bCs/>
          <w:sz w:val="60"/>
          <w:szCs w:val="60"/>
        </w:rPr>
        <w:t>watching brief</w:t>
      </w:r>
      <w:r w:rsidR="007609A8" w:rsidRPr="007609A8">
        <w:rPr>
          <w:b/>
          <w:bCs/>
          <w:sz w:val="60"/>
          <w:szCs w:val="60"/>
        </w:rPr>
        <w:t xml:space="preserve"> </w:t>
      </w:r>
    </w:p>
    <w:p w14:paraId="0E577B8D" w14:textId="2367838A" w:rsidR="00FA0AD8" w:rsidRDefault="00FA0AD8" w:rsidP="007609A8">
      <w:pPr>
        <w:rPr>
          <w:rFonts w:cstheme="minorHAnsi"/>
        </w:rPr>
      </w:pPr>
      <w:r w:rsidRPr="00C02DE7">
        <w:rPr>
          <w:rFonts w:cstheme="minorHAnsi"/>
          <w:noProof/>
        </w:rPr>
        <mc:AlternateContent>
          <mc:Choice Requires="wps">
            <w:drawing>
              <wp:anchor distT="45720" distB="45720" distL="114300" distR="114300" simplePos="0" relativeHeight="251657215" behindDoc="0" locked="0" layoutInCell="1" allowOverlap="1" wp14:anchorId="14B39FAE" wp14:editId="552E0ABD">
                <wp:simplePos x="0" y="0"/>
                <wp:positionH relativeFrom="margin">
                  <wp:align>center</wp:align>
                </wp:positionH>
                <wp:positionV relativeFrom="paragraph">
                  <wp:posOffset>437515</wp:posOffset>
                </wp:positionV>
                <wp:extent cx="58293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76E2D35B" w14:textId="690E3A80" w:rsidR="00C02DE7" w:rsidRPr="00C02DE7" w:rsidRDefault="00C02DE7" w:rsidP="00C02DE7">
                            <w:pPr>
                              <w:spacing w:after="0" w:line="240" w:lineRule="auto"/>
                              <w:rPr>
                                <w:b/>
                                <w:bCs/>
                              </w:rPr>
                            </w:pPr>
                            <w:r w:rsidRPr="00C02DE7">
                              <w:rPr>
                                <w:b/>
                                <w:bCs/>
                              </w:rPr>
                              <w:t xml:space="preserve">Clause definitions </w:t>
                            </w:r>
                          </w:p>
                          <w:p w14:paraId="76D35173" w14:textId="7F3C2E6C" w:rsidR="00C02DE7" w:rsidRDefault="00C02DE7" w:rsidP="00C02DE7">
                            <w:pPr>
                              <w:spacing w:after="0" w:line="240" w:lineRule="auto"/>
                            </w:pPr>
                            <w:r>
                              <w:t xml:space="preserve">There are three colour coded clauses to be aware of that appear throughout the guidance, these </w:t>
                            </w:r>
                            <w:r w:rsidR="00C20953">
                              <w:t>mean different things when it comes to adherence to the Standard and applying the guidance. They are</w:t>
                            </w:r>
                            <w:r>
                              <w:t xml:space="preserve"> defined as follows</w:t>
                            </w:r>
                            <w:r w:rsidR="00F274AF">
                              <w:t xml:space="preserve"> </w:t>
                            </w:r>
                            <w:r w:rsidR="00A81669">
                              <w:br/>
                            </w:r>
                          </w:p>
                          <w:p w14:paraId="23E8B1AC" w14:textId="61E794D4" w:rsidR="00C02DE7" w:rsidRDefault="00C02DE7" w:rsidP="00C02DE7">
                            <w:pPr>
                              <w:spacing w:after="0" w:line="240" w:lineRule="auto"/>
                            </w:pPr>
                            <w:r w:rsidRPr="00C02DE7">
                              <w:rPr>
                                <w:b/>
                                <w:bCs/>
                                <w:i/>
                                <w:iCs/>
                                <w:color w:val="ED7D31" w:themeColor="accent2"/>
                              </w:rPr>
                              <w:t>Must</w:t>
                            </w:r>
                            <w:r>
                              <w:t xml:space="preserve"> </w:t>
                            </w:r>
                            <w:r w:rsidR="00F274AF">
                              <w:t>–</w:t>
                            </w:r>
                            <w:r>
                              <w:t xml:space="preserve"> </w:t>
                            </w:r>
                            <w:r w:rsidRPr="00F274AF">
                              <w:rPr>
                                <w:u w:val="single"/>
                              </w:rPr>
                              <w:t>obligatory</w:t>
                            </w:r>
                            <w:r w:rsidR="00F274AF">
                              <w:rPr>
                                <w:u w:val="single"/>
                              </w:rPr>
                              <w:br/>
                            </w:r>
                            <w:r w:rsidR="00F274AF" w:rsidRPr="00F274AF">
                              <w:t>To ensure attainment of the Standard and adherence to the Code of conduct it will almost always be necessary to comply with a ‘must’ clause.</w:t>
                            </w:r>
                            <w:r w:rsidR="00FE50C2">
                              <w:br/>
                            </w:r>
                          </w:p>
                          <w:p w14:paraId="30F4E7EE" w14:textId="0C456422" w:rsidR="00C02DE7" w:rsidRDefault="00C02DE7" w:rsidP="00C02DE7">
                            <w:pPr>
                              <w:spacing w:after="0" w:line="240" w:lineRule="auto"/>
                            </w:pPr>
                            <w:r w:rsidRPr="00C02DE7">
                              <w:rPr>
                                <w:b/>
                                <w:bCs/>
                                <w:i/>
                                <w:iCs/>
                                <w:color w:val="0070C0"/>
                              </w:rPr>
                              <w:t xml:space="preserve">Should </w:t>
                            </w:r>
                            <w:r>
                              <w:t xml:space="preserve">- </w:t>
                            </w:r>
                            <w:r w:rsidRPr="00FE50C2">
                              <w:rPr>
                                <w:u w:val="single"/>
                              </w:rPr>
                              <w:t>strongly advised (with deviations documented)</w:t>
                            </w:r>
                            <w:r w:rsidR="00B160B7">
                              <w:br/>
                            </w:r>
                            <w:r w:rsidR="00B160B7" w:rsidRPr="00F274AF">
                              <w:t>Departures from ’should’ clauses require caution, and it is advisable to document the reasons.</w:t>
                            </w:r>
                            <w:r w:rsidR="00FE50C2">
                              <w:br/>
                            </w:r>
                          </w:p>
                          <w:p w14:paraId="7B87CCBE" w14:textId="304208F9" w:rsidR="00C02DE7" w:rsidRDefault="00C02DE7" w:rsidP="00C02DE7">
                            <w:pPr>
                              <w:spacing w:after="0" w:line="240" w:lineRule="auto"/>
                            </w:pPr>
                            <w:r w:rsidRPr="00C02DE7">
                              <w:rPr>
                                <w:b/>
                                <w:bCs/>
                                <w:i/>
                                <w:iCs/>
                                <w:color w:val="BF8F00" w:themeColor="accent4" w:themeShade="BF"/>
                              </w:rPr>
                              <w:t>May</w:t>
                            </w:r>
                            <w:r w:rsidRPr="00C02DE7">
                              <w:rPr>
                                <w:i/>
                                <w:iCs/>
                                <w:color w:val="BF8F00" w:themeColor="accent4" w:themeShade="BF"/>
                              </w:rPr>
                              <w:t xml:space="preserve"> </w:t>
                            </w:r>
                            <w:r w:rsidR="00B160B7">
                              <w:t>–</w:t>
                            </w:r>
                            <w:r>
                              <w:t xml:space="preserve"> </w:t>
                            </w:r>
                            <w:r w:rsidRPr="00FE50C2">
                              <w:rPr>
                                <w:u w:val="single"/>
                              </w:rPr>
                              <w:t>suggested</w:t>
                            </w:r>
                            <w:r w:rsidR="00B160B7">
                              <w:br/>
                            </w:r>
                            <w:r w:rsidR="00277FA2">
                              <w:t>It is acknowledged that r</w:t>
                            </w:r>
                            <w:r w:rsidR="00B160B7" w:rsidRPr="00F274AF">
                              <w:t>oles</w:t>
                            </w:r>
                            <w:r w:rsidR="00FE50C2">
                              <w:t>/processes/</w:t>
                            </w:r>
                            <w:r w:rsidR="00277FA2">
                              <w:t>approaches</w:t>
                            </w:r>
                            <w:r w:rsidR="00B160B7">
                              <w:t xml:space="preserve"> may</w:t>
                            </w:r>
                            <w:r w:rsidR="00B160B7" w:rsidRPr="00F274AF">
                              <w:t xml:space="preserve"> vary</w:t>
                            </w:r>
                            <w:r w:rsidR="00277FA2">
                              <w:t xml:space="preserve">, so </w:t>
                            </w:r>
                            <w:r w:rsidR="0057628B">
                              <w:t xml:space="preserve">a ‘may’ clause is </w:t>
                            </w:r>
                            <w:r w:rsidR="0059346C">
                              <w:t xml:space="preserve">a </w:t>
                            </w:r>
                            <w:r w:rsidR="0057628B">
                              <w:t>suggest</w:t>
                            </w:r>
                            <w:r w:rsidR="00A81669">
                              <w:t>ion for good practice</w:t>
                            </w:r>
                            <w:r w:rsidR="006822C6">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B39FAE" id="_x0000_t202" coordsize="21600,21600" o:spt="202" path="m,l,21600r21600,l21600,xe">
                <v:stroke joinstyle="miter"/>
                <v:path gradientshapeok="t" o:connecttype="rect"/>
              </v:shapetype>
              <v:shape id="Text Box 2" o:spid="_x0000_s1026" type="#_x0000_t202" style="position:absolute;margin-left:0;margin-top:34.45pt;width:459pt;height:110.6pt;z-index:251657215;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">
                <v:textbox style="mso-fit-shape-to-text:t">
                  <w:txbxContent>
                    <w:p w14:paraId="76E2D35B" w14:textId="690E3A80" w:rsidR="00C02DE7" w:rsidRPr="00C02DE7" w:rsidRDefault="00C02DE7" w:rsidP="00C02DE7">
                      <w:pPr>
                        <w:spacing w:after="0" w:line="240" w:lineRule="auto"/>
                        <w:rPr>
                          <w:b/>
                          <w:bCs/>
                        </w:rPr>
                      </w:pPr>
                      <w:r w:rsidRPr="00C02DE7">
                        <w:rPr>
                          <w:b/>
                          <w:bCs/>
                        </w:rPr>
                        <w:t xml:space="preserve">Clause definitions </w:t>
                      </w:r>
                    </w:p>
                    <w:p w14:paraId="76D35173" w14:textId="7F3C2E6C" w:rsidR="00C02DE7" w:rsidRDefault="00C02DE7" w:rsidP="00C02DE7">
                      <w:pPr>
                        <w:spacing w:after="0" w:line="240" w:lineRule="auto"/>
                      </w:pPr>
                      <w:r>
                        <w:t xml:space="preserve">There are three colour coded clauses to be aware of that appear throughout the guidance, these </w:t>
                      </w:r>
                      <w:r w:rsidR="00C20953">
                        <w:t>mean different things when it comes to adherence to the Standard and applying the guidance. They are</w:t>
                      </w:r>
                      <w:r>
                        <w:t xml:space="preserve"> defined as follows</w:t>
                      </w:r>
                      <w:r w:rsidR="00F274AF">
                        <w:t xml:space="preserve"> </w:t>
                      </w:r>
                      <w:r w:rsidR="00A81669">
                        <w:br/>
                      </w:r>
                    </w:p>
                    <w:p w14:paraId="23E8B1AC" w14:textId="61E794D4" w:rsidR="00C02DE7" w:rsidRDefault="00C02DE7" w:rsidP="00C02DE7">
                      <w:pPr>
                        <w:spacing w:after="0" w:line="240" w:lineRule="auto"/>
                      </w:pPr>
                      <w:r w:rsidRPr="00C02DE7">
                        <w:rPr>
                          <w:b/>
                          <w:bCs/>
                          <w:i/>
                          <w:iCs/>
                          <w:color w:val="ED7D31" w:themeColor="accent2"/>
                        </w:rPr>
                        <w:t>Must</w:t>
                      </w:r>
                      <w:r>
                        <w:t xml:space="preserve"> </w:t>
                      </w:r>
                      <w:r w:rsidR="00F274AF">
                        <w:t>–</w:t>
                      </w:r>
                      <w:r>
                        <w:t xml:space="preserve"> </w:t>
                      </w:r>
                      <w:r w:rsidRPr="00F274AF">
                        <w:rPr>
                          <w:u w:val="single"/>
                        </w:rPr>
                        <w:t>obligatory</w:t>
                      </w:r>
                      <w:r w:rsidR="00F274AF">
                        <w:rPr>
                          <w:u w:val="single"/>
                        </w:rPr>
                        <w:br/>
                      </w:r>
                      <w:r w:rsidR="00F274AF" w:rsidRPr="00F274AF">
                        <w:t>To ensure attainment of the Standard and adherence to the Code of conduct it will almost always be necessary to comply with a ‘must’ clause.</w:t>
                      </w:r>
                      <w:r w:rsidR="00FE50C2">
                        <w:br/>
                      </w:r>
                    </w:p>
                    <w:p w14:paraId="30F4E7EE" w14:textId="0C456422" w:rsidR="00C02DE7" w:rsidRDefault="00C02DE7" w:rsidP="00C02DE7">
                      <w:pPr>
                        <w:spacing w:after="0" w:line="240" w:lineRule="auto"/>
                      </w:pPr>
                      <w:r w:rsidRPr="00C02DE7">
                        <w:rPr>
                          <w:b/>
                          <w:bCs/>
                          <w:i/>
                          <w:iCs/>
                          <w:color w:val="0070C0"/>
                        </w:rPr>
                        <w:t xml:space="preserve">Should </w:t>
                      </w:r>
                      <w:r>
                        <w:t xml:space="preserve">- </w:t>
                      </w:r>
                      <w:r w:rsidRPr="00FE50C2">
                        <w:rPr>
                          <w:u w:val="single"/>
                        </w:rPr>
                        <w:t>strongly advised (with deviations documented)</w:t>
                      </w:r>
                      <w:r w:rsidR="00B160B7">
                        <w:br/>
                      </w:r>
                      <w:r w:rsidR="00B160B7" w:rsidRPr="00F274AF">
                        <w:t>Departures from ’should’ clauses require caution, and it is advisable to document the reasons.</w:t>
                      </w:r>
                      <w:r w:rsidR="00FE50C2">
                        <w:br/>
                      </w:r>
                    </w:p>
                    <w:p w14:paraId="7B87CCBE" w14:textId="304208F9" w:rsidR="00C02DE7" w:rsidRDefault="00C02DE7" w:rsidP="00C02DE7">
                      <w:pPr>
                        <w:spacing w:after="0" w:line="240" w:lineRule="auto"/>
                      </w:pPr>
                      <w:r w:rsidRPr="00C02DE7">
                        <w:rPr>
                          <w:b/>
                          <w:bCs/>
                          <w:i/>
                          <w:iCs/>
                          <w:color w:val="BF8F00" w:themeColor="accent4" w:themeShade="BF"/>
                        </w:rPr>
                        <w:t>May</w:t>
                      </w:r>
                      <w:r w:rsidRPr="00C02DE7">
                        <w:rPr>
                          <w:i/>
                          <w:iCs/>
                          <w:color w:val="BF8F00" w:themeColor="accent4" w:themeShade="BF"/>
                        </w:rPr>
                        <w:t xml:space="preserve"> </w:t>
                      </w:r>
                      <w:r w:rsidR="00B160B7">
                        <w:t>–</w:t>
                      </w:r>
                      <w:r>
                        <w:t xml:space="preserve"> </w:t>
                      </w:r>
                      <w:r w:rsidRPr="00FE50C2">
                        <w:rPr>
                          <w:u w:val="single"/>
                        </w:rPr>
                        <w:t>suggested</w:t>
                      </w:r>
                      <w:r w:rsidR="00B160B7">
                        <w:br/>
                      </w:r>
                      <w:r w:rsidR="00277FA2">
                        <w:t>It is acknowledged that r</w:t>
                      </w:r>
                      <w:r w:rsidR="00B160B7" w:rsidRPr="00F274AF">
                        <w:t>oles</w:t>
                      </w:r>
                      <w:r w:rsidR="00FE50C2">
                        <w:t>/processes/</w:t>
                      </w:r>
                      <w:r w:rsidR="00277FA2">
                        <w:t>approaches</w:t>
                      </w:r>
                      <w:r w:rsidR="00B160B7">
                        <w:t xml:space="preserve"> may</w:t>
                      </w:r>
                      <w:r w:rsidR="00B160B7" w:rsidRPr="00F274AF">
                        <w:t xml:space="preserve"> vary</w:t>
                      </w:r>
                      <w:r w:rsidR="00277FA2">
                        <w:t xml:space="preserve">, so </w:t>
                      </w:r>
                      <w:r w:rsidR="0057628B">
                        <w:t xml:space="preserve">a ‘may’ clause is </w:t>
                      </w:r>
                      <w:r w:rsidR="0059346C">
                        <w:t xml:space="preserve">a </w:t>
                      </w:r>
                      <w:r w:rsidR="0057628B">
                        <w:t>suggest</w:t>
                      </w:r>
                      <w:r w:rsidR="00A81669">
                        <w:t>ion for good practice</w:t>
                      </w:r>
                      <w:r w:rsidR="006822C6">
                        <w:t>.</w:t>
                      </w:r>
                    </w:p>
                  </w:txbxContent>
                </v:textbox>
                <w10:wrap type="square" anchorx="margin"/>
              </v:shape>
            </w:pict>
          </mc:Fallback>
        </mc:AlternateContent>
      </w:r>
    </w:p>
    <w:p w14:paraId="7C85E041" w14:textId="55366903" w:rsidR="00C02DE7" w:rsidRDefault="00C02DE7" w:rsidP="007609A8">
      <w:pPr>
        <w:rPr>
          <w:rFonts w:cstheme="minorHAnsi"/>
        </w:rPr>
      </w:pPr>
    </w:p>
    <w:p w14:paraId="4D179216" w14:textId="45D4B05C" w:rsidR="007609A8" w:rsidRPr="007609A8" w:rsidRDefault="007609A8" w:rsidP="007609A8">
      <w:pPr>
        <w:pStyle w:val="ListParagraph"/>
        <w:numPr>
          <w:ilvl w:val="0"/>
          <w:numId w:val="1"/>
        </w:numPr>
        <w:rPr>
          <w:rFonts w:cstheme="minorHAnsi"/>
          <w:b/>
          <w:bCs/>
          <w:sz w:val="28"/>
          <w:szCs w:val="28"/>
        </w:rPr>
      </w:pPr>
      <w:r w:rsidRPr="007609A8">
        <w:rPr>
          <w:rFonts w:cstheme="minorHAnsi"/>
          <w:b/>
          <w:bCs/>
          <w:sz w:val="28"/>
          <w:szCs w:val="28"/>
        </w:rPr>
        <w:t xml:space="preserve">Compliance with the Standard for archaeological </w:t>
      </w:r>
      <w:r w:rsidR="00563B09">
        <w:rPr>
          <w:rFonts w:cstheme="minorHAnsi"/>
          <w:b/>
          <w:bCs/>
          <w:sz w:val="28"/>
          <w:szCs w:val="28"/>
        </w:rPr>
        <w:t>watching brief</w:t>
      </w:r>
    </w:p>
    <w:p w14:paraId="48A5ED6A" w14:textId="77777777" w:rsidR="007609A8" w:rsidRPr="00A177F4" w:rsidRDefault="007609A8" w:rsidP="007609A8">
      <w:pPr>
        <w:pStyle w:val="ListParagraph"/>
        <w:ind w:left="360"/>
        <w:rPr>
          <w:rFonts w:cstheme="minorHAnsi"/>
          <w:b/>
          <w:bCs/>
        </w:rPr>
      </w:pPr>
    </w:p>
    <w:p w14:paraId="4796DD22" w14:textId="2FA53FE9" w:rsidR="00AB173E" w:rsidRPr="00717DF6" w:rsidRDefault="00AB173E" w:rsidP="00AB173E">
      <w:pPr>
        <w:pStyle w:val="ListParagraph"/>
        <w:numPr>
          <w:ilvl w:val="1"/>
          <w:numId w:val="1"/>
        </w:numPr>
        <w:ind w:left="792" w:hanging="432"/>
        <w:rPr>
          <w:rFonts w:cstheme="minorHAnsi"/>
        </w:rPr>
      </w:pPr>
      <w:r w:rsidRPr="007609A8">
        <w:rPr>
          <w:rFonts w:cstheme="minorHAnsi"/>
        </w:rPr>
        <w:t xml:space="preserve">When undertaking an archaeological </w:t>
      </w:r>
      <w:r w:rsidR="00B45F94">
        <w:rPr>
          <w:rFonts w:cstheme="minorHAnsi"/>
        </w:rPr>
        <w:t>watching brief</w:t>
      </w:r>
      <w:r w:rsidRPr="007609A8">
        <w:rPr>
          <w:rFonts w:cstheme="minorHAnsi"/>
        </w:rPr>
        <w:t xml:space="preserve">, the </w:t>
      </w:r>
      <w:r w:rsidRPr="007609A8">
        <w:rPr>
          <w:rFonts w:cstheme="minorHAnsi"/>
          <w:i/>
          <w:iCs/>
        </w:rPr>
        <w:t xml:space="preserve">Standard for archaeological </w:t>
      </w:r>
      <w:r w:rsidRPr="00AB173E">
        <w:rPr>
          <w:rFonts w:cstheme="minorHAnsi"/>
          <w:i/>
          <w:iCs/>
        </w:rPr>
        <w:t>watching brief</w:t>
      </w:r>
      <w:r w:rsidRPr="007A461B">
        <w:rPr>
          <w:rFonts w:cstheme="minorHAnsi"/>
          <w:color w:val="FF0000"/>
        </w:rPr>
        <w:t xml:space="preserve"> </w:t>
      </w:r>
      <w:r w:rsidRPr="00286759">
        <w:rPr>
          <w:rFonts w:cstheme="minorHAnsi"/>
          <w:b/>
          <w:bCs/>
          <w:i/>
          <w:iCs/>
          <w:color w:val="FF6600"/>
        </w:rPr>
        <w:t xml:space="preserve">must </w:t>
      </w:r>
      <w:r w:rsidRPr="007609A8">
        <w:rPr>
          <w:rFonts w:cstheme="minorHAnsi"/>
        </w:rPr>
        <w:t>be complied with.</w:t>
      </w:r>
      <w:r w:rsidRPr="005166AB">
        <w:t xml:space="preserve"> </w:t>
      </w:r>
      <w:r>
        <w:t xml:space="preserve">Failure to meet the Standard </w:t>
      </w:r>
      <w:r w:rsidRPr="00346D82">
        <w:t>may</w:t>
      </w:r>
      <w:r>
        <w:t xml:space="preserve"> be judged to conflict with the regulations by the Institute’s professional conduct procedure.</w:t>
      </w:r>
      <w:r>
        <w:br/>
      </w:r>
    </w:p>
    <w:p w14:paraId="01AE2D42" w14:textId="7C5A2BA3" w:rsidR="00AB173E" w:rsidRPr="00D542CD" w:rsidRDefault="00AB173E" w:rsidP="00AB173E">
      <w:pPr>
        <w:pStyle w:val="ListParagraph"/>
        <w:numPr>
          <w:ilvl w:val="1"/>
          <w:numId w:val="1"/>
        </w:numPr>
        <w:ind w:left="792" w:hanging="432"/>
        <w:rPr>
          <w:rFonts w:cstheme="minorHAnsi"/>
        </w:rPr>
      </w:pPr>
      <w:r w:rsidRPr="007609A8">
        <w:rPr>
          <w:rFonts w:cstheme="minorHAnsi"/>
        </w:rPr>
        <w:t xml:space="preserve">This guidance </w:t>
      </w:r>
      <w:r>
        <w:rPr>
          <w:rFonts w:cstheme="minorHAnsi"/>
        </w:rPr>
        <w:t>describes</w:t>
      </w:r>
      <w:r w:rsidRPr="007609A8">
        <w:rPr>
          <w:rFonts w:cstheme="minorHAnsi"/>
        </w:rPr>
        <w:t xml:space="preserve"> universally applicable good practice for archaeological </w:t>
      </w:r>
      <w:r w:rsidR="00B45F94">
        <w:rPr>
          <w:rFonts w:cstheme="minorHAnsi"/>
        </w:rPr>
        <w:t>watching brief</w:t>
      </w:r>
      <w:r>
        <w:rPr>
          <w:rFonts w:cstheme="minorHAnsi"/>
        </w:rPr>
        <w:t xml:space="preserve">, setting out </w:t>
      </w:r>
      <w:r w:rsidRPr="007609A8">
        <w:rPr>
          <w:rFonts w:cstheme="minorHAnsi"/>
        </w:rPr>
        <w:t xml:space="preserve">how the profession currently anticipates that the </w:t>
      </w:r>
      <w:r w:rsidRPr="007A461B">
        <w:rPr>
          <w:rFonts w:cstheme="minorHAnsi"/>
          <w:i/>
          <w:iCs/>
        </w:rPr>
        <w:t xml:space="preserve">Standard for archaeological </w:t>
      </w:r>
      <w:r w:rsidRPr="00AB173E">
        <w:rPr>
          <w:rFonts w:cstheme="minorHAnsi"/>
          <w:i/>
          <w:iCs/>
        </w:rPr>
        <w:t>watching brief</w:t>
      </w:r>
      <w:r w:rsidRPr="007609A8">
        <w:rPr>
          <w:rFonts w:cstheme="minorHAnsi"/>
        </w:rPr>
        <w:t xml:space="preserve"> may be met, and the </w:t>
      </w:r>
      <w:r w:rsidRPr="00175417">
        <w:rPr>
          <w:rFonts w:cstheme="minorHAnsi"/>
          <w:i/>
          <w:iCs/>
        </w:rPr>
        <w:t>Code of conduct</w:t>
      </w:r>
      <w:r w:rsidRPr="007609A8">
        <w:rPr>
          <w:rFonts w:cstheme="minorHAnsi"/>
        </w:rPr>
        <w:t xml:space="preserve"> complied with. If the work undertaken fails to meet the </w:t>
      </w:r>
      <w:r w:rsidRPr="007A461B">
        <w:rPr>
          <w:rFonts w:cstheme="minorHAnsi"/>
          <w:i/>
          <w:iCs/>
        </w:rPr>
        <w:t xml:space="preserve">Standard for archaeological </w:t>
      </w:r>
      <w:r w:rsidRPr="00AB173E">
        <w:rPr>
          <w:rFonts w:cstheme="minorHAnsi"/>
          <w:i/>
          <w:iCs/>
        </w:rPr>
        <w:t>watching brief</w:t>
      </w:r>
      <w:r w:rsidRPr="007609A8">
        <w:rPr>
          <w:rFonts w:cstheme="minorHAnsi"/>
        </w:rPr>
        <w:t xml:space="preserve"> because of the way in which it was conducted, the Standard has not been met and the work undertaken is ‘sub-standard’.</w:t>
      </w:r>
      <w:r>
        <w:rPr>
          <w:rFonts w:cstheme="minorHAnsi"/>
        </w:rPr>
        <w:t xml:space="preserve"> </w:t>
      </w:r>
      <w:r>
        <w:rPr>
          <w:rFonts w:cstheme="minorHAnsi"/>
        </w:rPr>
        <w:br/>
      </w:r>
    </w:p>
    <w:p w14:paraId="120AF088" w14:textId="42F8A44B" w:rsidR="00AB173E" w:rsidRPr="007609A8" w:rsidRDefault="00AB173E" w:rsidP="00AB173E">
      <w:pPr>
        <w:pStyle w:val="ListParagraph"/>
        <w:numPr>
          <w:ilvl w:val="1"/>
          <w:numId w:val="1"/>
        </w:numPr>
        <w:ind w:left="792" w:hanging="432"/>
        <w:rPr>
          <w:rFonts w:cstheme="minorHAnsi"/>
        </w:rPr>
      </w:pPr>
      <w:r>
        <w:rPr>
          <w:rFonts w:cstheme="minorHAnsi"/>
        </w:rPr>
        <w:t>This guidance</w:t>
      </w:r>
      <w:r w:rsidRPr="007609A8">
        <w:rPr>
          <w:rFonts w:cstheme="minorHAnsi"/>
        </w:rPr>
        <w:t xml:space="preserve"> outlines </w:t>
      </w:r>
      <w:r>
        <w:rPr>
          <w:rFonts w:cstheme="minorHAnsi"/>
        </w:rPr>
        <w:t xml:space="preserve">how </w:t>
      </w:r>
      <w:r w:rsidRPr="007609A8">
        <w:rPr>
          <w:rFonts w:cstheme="minorHAnsi"/>
        </w:rPr>
        <w:t xml:space="preserve">outcomes or products </w:t>
      </w:r>
      <w:r>
        <w:rPr>
          <w:rFonts w:cstheme="minorHAnsi"/>
        </w:rPr>
        <w:t xml:space="preserve">required by the Standard </w:t>
      </w:r>
      <w:r w:rsidRPr="007609A8">
        <w:rPr>
          <w:rFonts w:cstheme="minorHAnsi"/>
        </w:rPr>
        <w:t xml:space="preserve">can be attained and against which performance can be monitored. The archaeologist is left free to make a considered selection of appropriate established techniques and to develop new methods.  </w:t>
      </w:r>
      <w:r>
        <w:t xml:space="preserve">However, </w:t>
      </w:r>
      <w:r w:rsidRPr="00717DF6">
        <w:rPr>
          <w:rFonts w:cstheme="minorHAnsi"/>
        </w:rPr>
        <w:t xml:space="preserve">it is strongly recommended that the universal guidance outlined in this document </w:t>
      </w:r>
      <w:r>
        <w:rPr>
          <w:rFonts w:cstheme="minorHAnsi"/>
        </w:rPr>
        <w:t xml:space="preserve">for archaeological </w:t>
      </w:r>
      <w:r w:rsidR="00B45F94" w:rsidRPr="00B45F94">
        <w:rPr>
          <w:rFonts w:cstheme="minorHAnsi"/>
        </w:rPr>
        <w:t>watching brief</w:t>
      </w:r>
      <w:r>
        <w:rPr>
          <w:rFonts w:cstheme="minorHAnsi"/>
        </w:rPr>
        <w:t xml:space="preserve"> </w:t>
      </w:r>
      <w:r w:rsidRPr="00717DF6">
        <w:rPr>
          <w:rFonts w:cstheme="minorHAnsi"/>
        </w:rPr>
        <w:t>is followed to ensure compliance with the Standard.</w:t>
      </w:r>
      <w:r>
        <w:rPr>
          <w:rFonts w:cstheme="minorHAnsi"/>
        </w:rPr>
        <w:br/>
      </w:r>
    </w:p>
    <w:p w14:paraId="48BA43AF" w14:textId="6922F8B7" w:rsidR="00AB173E" w:rsidRPr="007609A8" w:rsidRDefault="00AB173E" w:rsidP="00AB173E">
      <w:pPr>
        <w:pStyle w:val="ListParagraph"/>
        <w:numPr>
          <w:ilvl w:val="1"/>
          <w:numId w:val="1"/>
        </w:numPr>
        <w:ind w:left="792" w:hanging="432"/>
        <w:rPr>
          <w:rFonts w:cstheme="minorHAnsi"/>
        </w:rPr>
      </w:pPr>
      <w:r w:rsidRPr="007609A8">
        <w:rPr>
          <w:rFonts w:cstheme="minorHAnsi"/>
        </w:rPr>
        <w:t>Due regard</w:t>
      </w:r>
      <w:r w:rsidRPr="005144A1">
        <w:rPr>
          <w:rFonts w:cstheme="minorHAnsi"/>
          <w:color w:val="ED7D31" w:themeColor="accent2"/>
        </w:rPr>
        <w:t xml:space="preserve"> </w:t>
      </w:r>
      <w:r w:rsidRPr="00286759">
        <w:rPr>
          <w:rFonts w:cstheme="minorHAnsi"/>
          <w:b/>
          <w:bCs/>
          <w:i/>
          <w:iCs/>
          <w:color w:val="0070C0"/>
        </w:rPr>
        <w:t>should</w:t>
      </w:r>
      <w:r w:rsidRPr="005144A1">
        <w:rPr>
          <w:rFonts w:cstheme="minorHAnsi"/>
          <w:color w:val="ED7D31" w:themeColor="accent2"/>
        </w:rPr>
        <w:t xml:space="preserve"> </w:t>
      </w:r>
      <w:r w:rsidRPr="007609A8">
        <w:rPr>
          <w:rFonts w:cstheme="minorHAnsi"/>
        </w:rPr>
        <w:t xml:space="preserve">also be given to detailed guidance </w:t>
      </w:r>
      <w:r>
        <w:rPr>
          <w:rFonts w:cstheme="minorHAnsi"/>
        </w:rPr>
        <w:t xml:space="preserve">on archaeological </w:t>
      </w:r>
      <w:r w:rsidR="00B45F94" w:rsidRPr="00B45F94">
        <w:rPr>
          <w:rFonts w:cstheme="minorHAnsi"/>
        </w:rPr>
        <w:t>watching brief</w:t>
      </w:r>
      <w:r w:rsidRPr="007609A8">
        <w:rPr>
          <w:rFonts w:cstheme="minorHAnsi"/>
        </w:rPr>
        <w:t xml:space="preserve"> to ensure th</w:t>
      </w:r>
      <w:r>
        <w:rPr>
          <w:rFonts w:cstheme="minorHAnsi"/>
        </w:rPr>
        <w:t>e</w:t>
      </w:r>
      <w:r w:rsidRPr="007609A8">
        <w:rPr>
          <w:rFonts w:cstheme="minorHAnsi"/>
        </w:rPr>
        <w:t xml:space="preserve"> work undertaken is in accordance with the legislation and policy of the country or jurisdiction of the place of work. </w:t>
      </w:r>
      <w:r>
        <w:rPr>
          <w:rFonts w:cstheme="minorHAnsi"/>
        </w:rPr>
        <w:br/>
      </w:r>
    </w:p>
    <w:p w14:paraId="2CC37CD9" w14:textId="77777777" w:rsidR="00AB173E" w:rsidRPr="00175417" w:rsidRDefault="00AB173E" w:rsidP="00AB173E">
      <w:pPr>
        <w:pStyle w:val="ListParagraph"/>
        <w:numPr>
          <w:ilvl w:val="1"/>
          <w:numId w:val="1"/>
        </w:numPr>
        <w:ind w:left="792" w:hanging="432"/>
        <w:rPr>
          <w:rFonts w:cstheme="minorHAnsi"/>
        </w:rPr>
      </w:pPr>
      <w:r w:rsidRPr="007609A8">
        <w:rPr>
          <w:rFonts w:cstheme="minorHAnsi"/>
        </w:rPr>
        <w:lastRenderedPageBreak/>
        <w:t xml:space="preserve">Departures from </w:t>
      </w:r>
      <w:r>
        <w:rPr>
          <w:rFonts w:cstheme="minorHAnsi"/>
        </w:rPr>
        <w:t xml:space="preserve">the universally applicable or jurisdiction-specific </w:t>
      </w:r>
      <w:r w:rsidRPr="007609A8">
        <w:rPr>
          <w:rFonts w:cstheme="minorHAnsi"/>
        </w:rPr>
        <w:t xml:space="preserve">guidance </w:t>
      </w:r>
      <w:r w:rsidRPr="003C2035">
        <w:rPr>
          <w:rFonts w:cstheme="minorHAnsi"/>
          <w:b/>
          <w:bCs/>
          <w:i/>
          <w:iCs/>
          <w:color w:val="0070C0"/>
        </w:rPr>
        <w:t>should</w:t>
      </w:r>
      <w:r w:rsidRPr="007609A8">
        <w:rPr>
          <w:rFonts w:cstheme="minorHAnsi"/>
        </w:rPr>
        <w:t xml:space="preserve"> be undertaken with caution</w:t>
      </w:r>
      <w:r>
        <w:rPr>
          <w:rFonts w:cstheme="minorHAnsi"/>
        </w:rPr>
        <w:t>. I</w:t>
      </w:r>
      <w:r w:rsidRPr="0005608E">
        <w:rPr>
          <w:rFonts w:cstheme="minorHAnsi"/>
        </w:rPr>
        <w:t xml:space="preserve">t is advisable to document the reasons for doing so and how the different approach will meet the </w:t>
      </w:r>
      <w:r>
        <w:rPr>
          <w:rFonts w:cstheme="minorHAnsi"/>
        </w:rPr>
        <w:t>Standard.</w:t>
      </w:r>
      <w:r>
        <w:rPr>
          <w:rFonts w:cstheme="minorHAnsi"/>
        </w:rPr>
        <w:br/>
      </w:r>
    </w:p>
    <w:p w14:paraId="6299565D" w14:textId="301286E1" w:rsidR="00AB173E" w:rsidRPr="0005608E" w:rsidRDefault="00AB173E" w:rsidP="00AB173E">
      <w:pPr>
        <w:pStyle w:val="ListParagraph"/>
        <w:numPr>
          <w:ilvl w:val="1"/>
          <w:numId w:val="1"/>
        </w:numPr>
        <w:ind w:left="792" w:hanging="432"/>
        <w:rPr>
          <w:rFonts w:cstheme="minorHAnsi"/>
        </w:rPr>
      </w:pPr>
      <w:r w:rsidRPr="00175417">
        <w:rPr>
          <w:rFonts w:cstheme="minorHAnsi"/>
        </w:rPr>
        <w:t xml:space="preserve">Archaeological </w:t>
      </w:r>
      <w:r w:rsidR="00F60A3F">
        <w:rPr>
          <w:rFonts w:cstheme="minorHAnsi"/>
        </w:rPr>
        <w:t>watching briefs</w:t>
      </w:r>
      <w:r w:rsidRPr="00175417">
        <w:rPr>
          <w:rFonts w:cstheme="minorHAnsi"/>
        </w:rPr>
        <w:t xml:space="preserve"> take place for many reasons and in many circumstances: the Standard and this guidance apply to all of them.</w:t>
      </w:r>
      <w:r w:rsidRPr="00717DF6" w:rsidDel="0092376D">
        <w:rPr>
          <w:rFonts w:cstheme="minorHAnsi"/>
        </w:rPr>
        <w:t xml:space="preserve"> </w:t>
      </w:r>
      <w:r>
        <w:rPr>
          <w:rFonts w:cstheme="minorHAnsi"/>
        </w:rPr>
        <w:br/>
      </w:r>
    </w:p>
    <w:p w14:paraId="2F931D34" w14:textId="77777777" w:rsidR="00AB173E" w:rsidRDefault="00AB173E" w:rsidP="00AB173E">
      <w:pPr>
        <w:pStyle w:val="ListParagraph"/>
        <w:numPr>
          <w:ilvl w:val="1"/>
          <w:numId w:val="1"/>
        </w:numPr>
        <w:ind w:left="792" w:hanging="432"/>
        <w:rPr>
          <w:rFonts w:cstheme="minorHAnsi"/>
        </w:rPr>
      </w:pPr>
      <w:r w:rsidRPr="0005608E">
        <w:rPr>
          <w:rFonts w:cstheme="minorHAnsi"/>
        </w:rPr>
        <w:t xml:space="preserve">Professional practice is changing. New methods are being developed, and the circumstances in which archaeological work is commissioned and conducted are subject to changing legal, administrative, and ideological perspectives. Comments and recommendations on this document are welcome at any time.   </w:t>
      </w:r>
    </w:p>
    <w:p w14:paraId="4AC682E2" w14:textId="77777777" w:rsidR="00EF711F" w:rsidRDefault="00EF711F" w:rsidP="00EF711F">
      <w:pPr>
        <w:pStyle w:val="ListParagraph"/>
        <w:ind w:left="907"/>
        <w:rPr>
          <w:rFonts w:cstheme="minorHAnsi"/>
        </w:rPr>
      </w:pPr>
    </w:p>
    <w:p w14:paraId="04D4969A" w14:textId="77777777" w:rsidR="00E46206" w:rsidRPr="00A177F4" w:rsidRDefault="00E46206" w:rsidP="00EF711F">
      <w:pPr>
        <w:pStyle w:val="ListParagraph"/>
        <w:ind w:left="907"/>
        <w:rPr>
          <w:rFonts w:cstheme="minorHAnsi"/>
        </w:rPr>
      </w:pPr>
    </w:p>
    <w:p w14:paraId="5B5C7C52" w14:textId="77777777" w:rsidR="001B6188" w:rsidRPr="00BE4A8D" w:rsidRDefault="00504DD3" w:rsidP="001B6188">
      <w:pPr>
        <w:pStyle w:val="ListParagraph"/>
        <w:numPr>
          <w:ilvl w:val="0"/>
          <w:numId w:val="1"/>
        </w:numPr>
        <w:rPr>
          <w:rFonts w:cstheme="minorHAnsi"/>
          <w:b/>
          <w:bCs/>
          <w:sz w:val="28"/>
          <w:szCs w:val="28"/>
        </w:rPr>
      </w:pPr>
      <w:r w:rsidRPr="00BE4A8D">
        <w:rPr>
          <w:rFonts w:cstheme="minorHAnsi"/>
          <w:b/>
          <w:bCs/>
          <w:sz w:val="28"/>
          <w:szCs w:val="28"/>
        </w:rPr>
        <w:t>Project design</w:t>
      </w:r>
    </w:p>
    <w:p w14:paraId="39E38B26" w14:textId="77777777" w:rsidR="001B6188" w:rsidRPr="00A177F4" w:rsidRDefault="001B6188" w:rsidP="001B6188">
      <w:pPr>
        <w:pStyle w:val="ListParagraph"/>
        <w:ind w:left="360"/>
        <w:rPr>
          <w:rFonts w:cstheme="minorHAnsi"/>
          <w:b/>
          <w:bCs/>
        </w:rPr>
      </w:pPr>
    </w:p>
    <w:p w14:paraId="60479F44" w14:textId="765FE1BC" w:rsidR="001B6188" w:rsidRPr="00A177F4" w:rsidRDefault="001B6188" w:rsidP="00EF711F">
      <w:pPr>
        <w:pStyle w:val="ListParagraph"/>
        <w:numPr>
          <w:ilvl w:val="1"/>
          <w:numId w:val="1"/>
        </w:numPr>
        <w:rPr>
          <w:rFonts w:cstheme="minorHAnsi"/>
        </w:rPr>
      </w:pPr>
      <w:r w:rsidRPr="00A177F4">
        <w:rPr>
          <w:rFonts w:cstheme="minorHAnsi"/>
        </w:rPr>
        <w:t>A</w:t>
      </w:r>
      <w:r w:rsidR="001B4571" w:rsidRPr="00A177F4">
        <w:rPr>
          <w:rFonts w:cstheme="minorHAnsi"/>
        </w:rPr>
        <w:t xml:space="preserve">n archaeologist </w:t>
      </w:r>
      <w:r w:rsidR="001B4571" w:rsidRPr="0084594B">
        <w:rPr>
          <w:rFonts w:cstheme="minorHAnsi"/>
          <w:b/>
          <w:bCs/>
          <w:i/>
          <w:iCs/>
          <w:color w:val="0070C0"/>
        </w:rPr>
        <w:t>should</w:t>
      </w:r>
      <w:r w:rsidR="001B4571" w:rsidRPr="00A177F4">
        <w:rPr>
          <w:rFonts w:cstheme="minorHAnsi"/>
        </w:rPr>
        <w:t xml:space="preserve"> only undertake an archaeological </w:t>
      </w:r>
      <w:r w:rsidR="00AF7769">
        <w:rPr>
          <w:rFonts w:cstheme="minorHAnsi"/>
        </w:rPr>
        <w:t>watching brief</w:t>
      </w:r>
      <w:r w:rsidR="001B4571" w:rsidRPr="00A177F4">
        <w:rPr>
          <w:rFonts w:cstheme="minorHAnsi"/>
        </w:rPr>
        <w:t xml:space="preserve"> which is governed by a project design, as this is the tool against which performance, fitness for purpose, and achievement of the </w:t>
      </w:r>
      <w:r w:rsidR="001B4571" w:rsidRPr="00A177F4">
        <w:rPr>
          <w:rFonts w:cstheme="minorHAnsi"/>
          <w:i/>
          <w:iCs/>
        </w:rPr>
        <w:t>Standard for archaeological</w:t>
      </w:r>
      <w:r w:rsidR="001051C7">
        <w:rPr>
          <w:rFonts w:cstheme="minorHAnsi"/>
          <w:i/>
          <w:iCs/>
        </w:rPr>
        <w:t xml:space="preserve"> </w:t>
      </w:r>
      <w:r w:rsidR="00AF7769" w:rsidRPr="00AF7769">
        <w:rPr>
          <w:rFonts w:cstheme="minorHAnsi"/>
          <w:i/>
          <w:iCs/>
        </w:rPr>
        <w:t xml:space="preserve">watching brief </w:t>
      </w:r>
      <w:r w:rsidR="001B4571" w:rsidRPr="00A177F4">
        <w:rPr>
          <w:rFonts w:cstheme="minorHAnsi"/>
        </w:rPr>
        <w:t>can be measured.</w:t>
      </w:r>
    </w:p>
    <w:p w14:paraId="72CA719D" w14:textId="77777777" w:rsidR="007D6546" w:rsidRPr="00A177F4" w:rsidRDefault="007D6546" w:rsidP="007D6546">
      <w:pPr>
        <w:pStyle w:val="ListParagraph"/>
        <w:ind w:left="792"/>
        <w:rPr>
          <w:rFonts w:cstheme="minorHAnsi"/>
        </w:rPr>
      </w:pPr>
    </w:p>
    <w:p w14:paraId="62C218B3" w14:textId="77777777" w:rsidR="0012596E" w:rsidRPr="00A177F4" w:rsidRDefault="001B4571" w:rsidP="0012596E">
      <w:pPr>
        <w:pStyle w:val="ListParagraph"/>
        <w:numPr>
          <w:ilvl w:val="1"/>
          <w:numId w:val="1"/>
        </w:numPr>
        <w:rPr>
          <w:rFonts w:cstheme="minorHAnsi"/>
        </w:rPr>
      </w:pPr>
      <w:r w:rsidRPr="00A177F4">
        <w:rPr>
          <w:rFonts w:cstheme="minorHAnsi"/>
        </w:rPr>
        <w:t xml:space="preserve">The project design author and/or project manager </w:t>
      </w:r>
      <w:r w:rsidRPr="0084594B">
        <w:rPr>
          <w:rFonts w:cstheme="minorHAnsi"/>
          <w:b/>
          <w:bCs/>
          <w:i/>
          <w:iCs/>
          <w:color w:val="0070C0"/>
        </w:rPr>
        <w:t>should</w:t>
      </w:r>
      <w:r w:rsidRPr="00A177F4">
        <w:rPr>
          <w:rFonts w:cstheme="minorHAnsi"/>
          <w:color w:val="70AD47" w:themeColor="accent6"/>
        </w:rPr>
        <w:t xml:space="preserve"> </w:t>
      </w:r>
      <w:r w:rsidRPr="00A177F4">
        <w:rPr>
          <w:rFonts w:cstheme="minorHAnsi"/>
        </w:rPr>
        <w:t>be a Member (MCIfA) of CIfA.</w:t>
      </w:r>
    </w:p>
    <w:p w14:paraId="4B3A6491" w14:textId="77777777" w:rsidR="0012596E" w:rsidRPr="00A177F4" w:rsidRDefault="0012596E" w:rsidP="0012596E">
      <w:pPr>
        <w:pStyle w:val="ListParagraph"/>
        <w:rPr>
          <w:rFonts w:cstheme="minorHAnsi"/>
        </w:rPr>
      </w:pPr>
    </w:p>
    <w:p w14:paraId="0BF3DD4C" w14:textId="77777777" w:rsidR="0012596E" w:rsidRPr="00A177F4" w:rsidRDefault="001B4571" w:rsidP="0012596E">
      <w:pPr>
        <w:pStyle w:val="ListParagraph"/>
        <w:numPr>
          <w:ilvl w:val="1"/>
          <w:numId w:val="1"/>
        </w:numPr>
        <w:rPr>
          <w:rFonts w:cstheme="minorHAnsi"/>
        </w:rPr>
      </w:pPr>
      <w:r w:rsidRPr="00A177F4">
        <w:rPr>
          <w:rFonts w:cstheme="minorHAnsi"/>
        </w:rPr>
        <w:t xml:space="preserve">A project design </w:t>
      </w:r>
      <w:r w:rsidRPr="008C0206">
        <w:rPr>
          <w:rFonts w:cstheme="minorHAnsi"/>
          <w:b/>
          <w:bCs/>
          <w:i/>
          <w:iCs/>
          <w:color w:val="BF8F00" w:themeColor="accent4" w:themeShade="BF"/>
        </w:rPr>
        <w:t>may</w:t>
      </w:r>
      <w:r w:rsidRPr="00A177F4">
        <w:rPr>
          <w:rFonts w:cstheme="minorHAnsi"/>
        </w:rPr>
        <w:t xml:space="preserve"> be produced in response to a brief, a document that outlines the circumstances to be addressed, with some indication of the scope of works that will be required.</w:t>
      </w:r>
    </w:p>
    <w:p w14:paraId="257D6A81" w14:textId="77777777" w:rsidR="0012596E" w:rsidRPr="00A177F4" w:rsidRDefault="0012596E" w:rsidP="0012596E">
      <w:pPr>
        <w:pStyle w:val="ListParagraph"/>
        <w:rPr>
          <w:rFonts w:cstheme="minorHAnsi"/>
        </w:rPr>
      </w:pPr>
    </w:p>
    <w:p w14:paraId="21491215" w14:textId="3FA8BF50" w:rsidR="00E50E6F" w:rsidRDefault="001B4571" w:rsidP="00E50E6F">
      <w:pPr>
        <w:pStyle w:val="ListParagraph"/>
        <w:numPr>
          <w:ilvl w:val="1"/>
          <w:numId w:val="1"/>
        </w:numPr>
        <w:rPr>
          <w:rFonts w:cstheme="minorHAnsi"/>
        </w:rPr>
      </w:pPr>
      <w:r w:rsidRPr="00A177F4">
        <w:rPr>
          <w:rFonts w:cstheme="minorHAnsi"/>
        </w:rPr>
        <w:t xml:space="preserve">The project design </w:t>
      </w:r>
      <w:r w:rsidRPr="0084594B">
        <w:rPr>
          <w:rFonts w:cstheme="minorHAnsi"/>
          <w:b/>
          <w:bCs/>
          <w:i/>
          <w:iCs/>
          <w:color w:val="0070C0"/>
        </w:rPr>
        <w:t>should</w:t>
      </w:r>
      <w:r w:rsidRPr="00A177F4">
        <w:rPr>
          <w:rFonts w:cstheme="minorHAnsi"/>
          <w:color w:val="FF0000"/>
        </w:rPr>
        <w:t xml:space="preserve"> </w:t>
      </w:r>
      <w:r w:rsidRPr="00A177F4">
        <w:rPr>
          <w:rFonts w:cstheme="minorHAnsi"/>
        </w:rPr>
        <w:t xml:space="preserve">set out the proposed scheme of investigation in enough detail that all </w:t>
      </w:r>
      <w:r w:rsidRPr="00A177F4">
        <w:rPr>
          <w:rFonts w:cstheme="minorHAnsi"/>
          <w:i/>
          <w:iCs/>
        </w:rPr>
        <w:t>relevant parties</w:t>
      </w:r>
      <w:r w:rsidR="00FA01E0" w:rsidRPr="00FA01E0">
        <w:rPr>
          <w:rFonts w:cstheme="minorHAnsi"/>
          <w:color w:val="FF0000"/>
        </w:rPr>
        <w:t xml:space="preserve"> </w:t>
      </w:r>
      <w:r w:rsidRPr="00A177F4">
        <w:rPr>
          <w:rFonts w:cstheme="minorHAnsi"/>
        </w:rPr>
        <w:t>can understand what will be done, assess whether it is fit for purpose and check that it complies with any conditions or obligations. It</w:t>
      </w:r>
      <w:r w:rsidRPr="00A177F4">
        <w:rPr>
          <w:rFonts w:cstheme="minorHAnsi"/>
          <w:color w:val="538135" w:themeColor="accent6" w:themeShade="BF"/>
        </w:rPr>
        <w:t xml:space="preserve"> </w:t>
      </w:r>
      <w:r w:rsidRPr="0084594B">
        <w:rPr>
          <w:rFonts w:cstheme="minorHAnsi"/>
          <w:b/>
          <w:bCs/>
          <w:i/>
          <w:iCs/>
          <w:color w:val="0070C0"/>
        </w:rPr>
        <w:t>should</w:t>
      </w:r>
      <w:r w:rsidRPr="00A177F4">
        <w:rPr>
          <w:rFonts w:cstheme="minorHAnsi"/>
          <w:color w:val="538135" w:themeColor="accent6" w:themeShade="BF"/>
        </w:rPr>
        <w:t xml:space="preserve"> </w:t>
      </w:r>
      <w:r w:rsidRPr="00A177F4">
        <w:rPr>
          <w:rFonts w:cstheme="minorHAnsi"/>
        </w:rPr>
        <w:t xml:space="preserve">provide a benchmark against which the results of the work can be measured. </w:t>
      </w:r>
    </w:p>
    <w:p w14:paraId="0B47717F" w14:textId="77777777" w:rsidR="00E50E6F" w:rsidRPr="00E50E6F" w:rsidRDefault="00E50E6F" w:rsidP="00E50E6F">
      <w:pPr>
        <w:pStyle w:val="ListParagraph"/>
        <w:rPr>
          <w:rFonts w:cstheme="minorHAnsi"/>
        </w:rPr>
      </w:pPr>
    </w:p>
    <w:p w14:paraId="121338DF" w14:textId="77777777" w:rsidR="00256407" w:rsidRDefault="00E50E6F" w:rsidP="00256407">
      <w:pPr>
        <w:pStyle w:val="ListParagraph"/>
        <w:numPr>
          <w:ilvl w:val="1"/>
          <w:numId w:val="1"/>
        </w:numPr>
        <w:rPr>
          <w:rFonts w:cstheme="minorHAnsi"/>
        </w:rPr>
      </w:pPr>
      <w:r w:rsidRPr="00E50E6F">
        <w:rPr>
          <w:rFonts w:cstheme="minorHAnsi"/>
        </w:rPr>
        <w:t xml:space="preserve">The project design author </w:t>
      </w:r>
      <w:r w:rsidRPr="0084594B">
        <w:rPr>
          <w:rFonts w:cstheme="minorHAnsi"/>
          <w:b/>
          <w:bCs/>
          <w:i/>
          <w:iCs/>
          <w:color w:val="0070C0"/>
        </w:rPr>
        <w:t>should</w:t>
      </w:r>
      <w:r w:rsidRPr="00E50E6F">
        <w:rPr>
          <w:rFonts w:cstheme="minorHAnsi"/>
        </w:rPr>
        <w:t xml:space="preserve"> consider all available practicable methods of investigation and decide upon the most appropriate to meet the purpose of the work, seeking specialist advice where necessary. </w:t>
      </w:r>
    </w:p>
    <w:p w14:paraId="06796C87" w14:textId="77777777" w:rsidR="00256407" w:rsidRPr="00256407" w:rsidRDefault="00256407" w:rsidP="00256407">
      <w:pPr>
        <w:pStyle w:val="ListParagraph"/>
        <w:rPr>
          <w:rFonts w:cstheme="minorHAnsi"/>
        </w:rPr>
      </w:pPr>
    </w:p>
    <w:p w14:paraId="48650907" w14:textId="64194E19" w:rsidR="00256407" w:rsidRDefault="00256407" w:rsidP="00256407">
      <w:pPr>
        <w:pStyle w:val="ListParagraph"/>
        <w:numPr>
          <w:ilvl w:val="1"/>
          <w:numId w:val="1"/>
        </w:numPr>
        <w:rPr>
          <w:rFonts w:cstheme="minorHAnsi"/>
        </w:rPr>
      </w:pPr>
      <w:r w:rsidRPr="00256407">
        <w:rPr>
          <w:rFonts w:cstheme="minorHAnsi"/>
        </w:rPr>
        <w:t xml:space="preserve">The project design </w:t>
      </w:r>
      <w:r w:rsidRPr="0084594B">
        <w:rPr>
          <w:rFonts w:cstheme="minorHAnsi"/>
          <w:b/>
          <w:bCs/>
          <w:i/>
          <w:iCs/>
          <w:color w:val="0070C0"/>
        </w:rPr>
        <w:t>should</w:t>
      </w:r>
      <w:r w:rsidRPr="00256407">
        <w:rPr>
          <w:rFonts w:cstheme="minorHAnsi"/>
        </w:rPr>
        <w:t xml:space="preserve"> be suited to the project under consideration and any templates </w:t>
      </w:r>
      <w:r w:rsidRPr="0084594B">
        <w:rPr>
          <w:rFonts w:cstheme="minorHAnsi"/>
          <w:b/>
          <w:bCs/>
          <w:i/>
          <w:iCs/>
          <w:color w:val="0070C0"/>
        </w:rPr>
        <w:t>should</w:t>
      </w:r>
      <w:r w:rsidRPr="00256407">
        <w:rPr>
          <w:rFonts w:cstheme="minorHAnsi"/>
        </w:rPr>
        <w:t xml:space="preserve"> therefore be used with care. </w:t>
      </w:r>
      <w:r w:rsidR="005D442D">
        <w:rPr>
          <w:rFonts w:cstheme="minorHAnsi"/>
        </w:rPr>
        <w:t>T</w:t>
      </w:r>
      <w:r w:rsidR="005D442D" w:rsidRPr="005D442D">
        <w:rPr>
          <w:rFonts w:cstheme="minorHAnsi"/>
        </w:rPr>
        <w:t>he author</w:t>
      </w:r>
      <w:r w:rsidR="005D442D" w:rsidRPr="0084594B">
        <w:rPr>
          <w:rFonts w:cstheme="minorHAnsi"/>
          <w:i/>
          <w:iCs/>
          <w:color w:val="0070C0"/>
        </w:rPr>
        <w:t xml:space="preserve"> </w:t>
      </w:r>
      <w:r w:rsidR="005D442D" w:rsidRPr="0084594B">
        <w:rPr>
          <w:rFonts w:cstheme="minorHAnsi"/>
          <w:b/>
          <w:bCs/>
          <w:i/>
          <w:iCs/>
          <w:color w:val="0070C0"/>
        </w:rPr>
        <w:t>should</w:t>
      </w:r>
      <w:r w:rsidR="005D442D" w:rsidRPr="0084594B">
        <w:rPr>
          <w:rFonts w:cstheme="minorHAnsi"/>
          <w:color w:val="0070C0"/>
        </w:rPr>
        <w:t xml:space="preserve"> </w:t>
      </w:r>
      <w:r w:rsidR="005D442D" w:rsidRPr="005D442D">
        <w:rPr>
          <w:rFonts w:cstheme="minorHAnsi"/>
        </w:rPr>
        <w:t>examine all appropriate resources.</w:t>
      </w:r>
    </w:p>
    <w:p w14:paraId="39BE405A" w14:textId="77777777" w:rsidR="00FB0C30" w:rsidRPr="00FB0C30" w:rsidRDefault="00FB0C30" w:rsidP="00FB0C30">
      <w:pPr>
        <w:pStyle w:val="ListParagraph"/>
        <w:rPr>
          <w:rFonts w:cstheme="minorHAnsi"/>
        </w:rPr>
      </w:pPr>
    </w:p>
    <w:p w14:paraId="63BB2446" w14:textId="2BE26992" w:rsidR="00582412" w:rsidRPr="00582412" w:rsidRDefault="00FB0C30" w:rsidP="00582412">
      <w:pPr>
        <w:pStyle w:val="ListParagraph"/>
        <w:numPr>
          <w:ilvl w:val="1"/>
          <w:numId w:val="1"/>
        </w:numPr>
        <w:rPr>
          <w:rFonts w:cstheme="minorHAnsi"/>
        </w:rPr>
      </w:pPr>
      <w:r w:rsidRPr="002366A5">
        <w:rPr>
          <w:rFonts w:cstheme="minorHAnsi"/>
        </w:rPr>
        <w:t xml:space="preserve">The project design </w:t>
      </w:r>
      <w:r w:rsidRPr="0084594B">
        <w:rPr>
          <w:rFonts w:cstheme="minorHAnsi"/>
          <w:b/>
          <w:bCs/>
          <w:i/>
          <w:iCs/>
          <w:color w:val="0070C0"/>
        </w:rPr>
        <w:t>should</w:t>
      </w:r>
      <w:r w:rsidRPr="002366A5">
        <w:rPr>
          <w:rFonts w:cstheme="minorHAnsi"/>
        </w:rPr>
        <w:t xml:space="preserve"> outline the research aims and</w:t>
      </w:r>
      <w:r w:rsidR="005D442D">
        <w:rPr>
          <w:rFonts w:cstheme="minorHAnsi"/>
        </w:rPr>
        <w:t xml:space="preserve"> the</w:t>
      </w:r>
      <w:r w:rsidR="002366A5" w:rsidRPr="001468AA">
        <w:rPr>
          <w:rFonts w:cstheme="minorHAnsi"/>
        </w:rPr>
        <w:t xml:space="preserve"> methods of investigation </w:t>
      </w:r>
      <w:r w:rsidR="005D442D">
        <w:rPr>
          <w:rFonts w:cstheme="minorHAnsi"/>
        </w:rPr>
        <w:t xml:space="preserve">that are </w:t>
      </w:r>
      <w:r w:rsidR="002366A5" w:rsidRPr="001468AA">
        <w:rPr>
          <w:rFonts w:cstheme="minorHAnsi"/>
        </w:rPr>
        <w:t>most appropriate to meet the purpose of the work, seeking specialist advice where necessary.</w:t>
      </w:r>
      <w:r w:rsidR="005D442D">
        <w:rPr>
          <w:rFonts w:cstheme="minorHAnsi"/>
        </w:rPr>
        <w:t xml:space="preserve"> </w:t>
      </w:r>
      <w:r w:rsidR="00582412">
        <w:rPr>
          <w:rFonts w:cstheme="minorHAnsi"/>
        </w:rPr>
        <w:br/>
      </w:r>
    </w:p>
    <w:p w14:paraId="2ABCA17B" w14:textId="3502D2FD" w:rsidR="00E50E6F" w:rsidRPr="00256407" w:rsidRDefault="00256407" w:rsidP="00256407">
      <w:pPr>
        <w:pStyle w:val="ListParagraph"/>
        <w:numPr>
          <w:ilvl w:val="1"/>
          <w:numId w:val="1"/>
        </w:numPr>
        <w:rPr>
          <w:rFonts w:cstheme="minorHAnsi"/>
        </w:rPr>
      </w:pPr>
      <w:r w:rsidRPr="00256407">
        <w:rPr>
          <w:rFonts w:cstheme="minorHAnsi"/>
        </w:rPr>
        <w:t xml:space="preserve">The project design </w:t>
      </w:r>
      <w:r w:rsidRPr="0084594B">
        <w:rPr>
          <w:rFonts w:cstheme="minorHAnsi"/>
          <w:b/>
          <w:bCs/>
          <w:i/>
          <w:iCs/>
          <w:color w:val="0070C0"/>
        </w:rPr>
        <w:t>should</w:t>
      </w:r>
      <w:r w:rsidRPr="0084594B">
        <w:rPr>
          <w:rFonts w:cstheme="minorHAnsi"/>
          <w:i/>
          <w:iCs/>
          <w:color w:val="0070C0"/>
        </w:rPr>
        <w:t xml:space="preserve"> </w:t>
      </w:r>
      <w:r w:rsidRPr="00256407">
        <w:rPr>
          <w:rFonts w:cstheme="minorHAnsi"/>
        </w:rPr>
        <w:t xml:space="preserve">set out where and how the answers to the project’s research questions will be disseminated to different audiences, during and after implementation. The approach to dissemination and the level of detail reported </w:t>
      </w:r>
      <w:r w:rsidRPr="00632213">
        <w:rPr>
          <w:rFonts w:cstheme="minorHAnsi"/>
          <w:b/>
          <w:bCs/>
          <w:i/>
          <w:iCs/>
          <w:color w:val="0070C0"/>
        </w:rPr>
        <w:t>should</w:t>
      </w:r>
      <w:r w:rsidRPr="00256407">
        <w:rPr>
          <w:rFonts w:cstheme="minorHAnsi"/>
        </w:rPr>
        <w:t xml:space="preserve"> be proportionate to the anticipated significance of the asset: dissemination proposals </w:t>
      </w:r>
      <w:r w:rsidRPr="0084594B">
        <w:rPr>
          <w:rFonts w:cstheme="minorHAnsi"/>
          <w:b/>
          <w:bCs/>
          <w:i/>
          <w:iCs/>
          <w:color w:val="0070C0"/>
        </w:rPr>
        <w:t>should</w:t>
      </w:r>
      <w:r w:rsidRPr="00AE7FE9">
        <w:rPr>
          <w:rFonts w:cstheme="minorHAnsi"/>
          <w:b/>
          <w:bCs/>
          <w:color w:val="ED7D31" w:themeColor="accent2"/>
        </w:rPr>
        <w:t xml:space="preserve"> </w:t>
      </w:r>
      <w:r w:rsidRPr="00256407">
        <w:rPr>
          <w:rFonts w:cstheme="minorHAnsi"/>
        </w:rPr>
        <w:t xml:space="preserve">include a process for review.  </w:t>
      </w:r>
    </w:p>
    <w:p w14:paraId="0B646299" w14:textId="77777777" w:rsidR="00E50E6F" w:rsidRPr="00E50E6F" w:rsidRDefault="00E50E6F" w:rsidP="00E50E6F">
      <w:pPr>
        <w:pStyle w:val="ListParagraph"/>
        <w:rPr>
          <w:rFonts w:cstheme="minorHAnsi"/>
        </w:rPr>
      </w:pPr>
    </w:p>
    <w:p w14:paraId="3A90432A" w14:textId="5FFE10D8" w:rsidR="001B4571" w:rsidRPr="00A177F4" w:rsidRDefault="001B4571" w:rsidP="0012596E">
      <w:pPr>
        <w:pStyle w:val="ListParagraph"/>
        <w:numPr>
          <w:ilvl w:val="1"/>
          <w:numId w:val="1"/>
        </w:numPr>
        <w:rPr>
          <w:rFonts w:cstheme="minorHAnsi"/>
        </w:rPr>
      </w:pPr>
      <w:r w:rsidRPr="00A177F4">
        <w:rPr>
          <w:rFonts w:cstheme="minorHAnsi"/>
        </w:rPr>
        <w:t xml:space="preserve">A project design </w:t>
      </w:r>
      <w:r w:rsidRPr="0084594B">
        <w:rPr>
          <w:rFonts w:cstheme="minorHAnsi"/>
          <w:b/>
          <w:bCs/>
          <w:i/>
          <w:iCs/>
          <w:color w:val="0070C0"/>
        </w:rPr>
        <w:t>should</w:t>
      </w:r>
      <w:r w:rsidRPr="00A177F4">
        <w:rPr>
          <w:rFonts w:cstheme="minorHAnsi"/>
        </w:rPr>
        <w:t xml:space="preserve"> normally contain or cover the following, subject to country/jurisdiction specific requirements</w:t>
      </w:r>
      <w:r w:rsidR="00E244A1">
        <w:rPr>
          <w:rFonts w:cstheme="minorHAnsi"/>
        </w:rPr>
        <w:br/>
      </w:r>
    </w:p>
    <w:p w14:paraId="4B6D82EA"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non-technical summary</w:t>
      </w:r>
    </w:p>
    <w:p w14:paraId="434430FC"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site location (including map) and descriptions</w:t>
      </w:r>
    </w:p>
    <w:p w14:paraId="2A18158E"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context of the project</w:t>
      </w:r>
    </w:p>
    <w:p w14:paraId="78FFB289"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geological and topographical background</w:t>
      </w:r>
    </w:p>
    <w:p w14:paraId="04713CB1"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archaeological and historical background</w:t>
      </w:r>
    </w:p>
    <w:p w14:paraId="0731FCCA"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a statement on the relevant technical, research and ethical competences of the organisation undertaking the work</w:t>
      </w:r>
    </w:p>
    <w:p w14:paraId="23BB847C"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research aims of the project, including where appropriate explicit reference to existing research frameworks and objectives</w:t>
      </w:r>
    </w:p>
    <w:p w14:paraId="6BD65E3D"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 xml:space="preserve">methods of investigation, including sampling </w:t>
      </w:r>
    </w:p>
    <w:p w14:paraId="19EA3828" w14:textId="77777777" w:rsidR="001B4571" w:rsidRPr="00A177F4" w:rsidRDefault="001B4571" w:rsidP="001B4571">
      <w:pPr>
        <w:pStyle w:val="ListParagraph"/>
        <w:widowControl w:val="0"/>
        <w:numPr>
          <w:ilvl w:val="0"/>
          <w:numId w:val="5"/>
        </w:numPr>
        <w:spacing w:after="0" w:line="240" w:lineRule="auto"/>
        <w:ind w:left="1418" w:hanging="567"/>
        <w:jc w:val="both"/>
        <w:rPr>
          <w:rFonts w:cstheme="minorHAnsi"/>
        </w:rPr>
      </w:pPr>
      <w:r w:rsidRPr="00A177F4">
        <w:rPr>
          <w:rFonts w:cstheme="minorHAnsi"/>
        </w:rPr>
        <w:t>arrangements for immediate conservation of artefacts</w:t>
      </w:r>
    </w:p>
    <w:p w14:paraId="497922E2"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post-fieldwork assessment and analysis of project data</w:t>
      </w:r>
    </w:p>
    <w:p w14:paraId="473C1576" w14:textId="51796DC4"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 xml:space="preserve">archiving strategy including reference to data management plans - strategy </w:t>
      </w:r>
      <w:r w:rsidRPr="0084594B">
        <w:rPr>
          <w:rFonts w:cstheme="minorHAnsi"/>
          <w:b/>
          <w:bCs/>
          <w:i/>
          <w:iCs/>
          <w:color w:val="ED7D31" w:themeColor="accent2"/>
        </w:rPr>
        <w:t>must</w:t>
      </w:r>
      <w:r w:rsidRPr="0084594B">
        <w:rPr>
          <w:rFonts w:cstheme="minorHAnsi"/>
          <w:i/>
          <w:iCs/>
          <w:color w:val="ED7D31" w:themeColor="accent2"/>
        </w:rPr>
        <w:t xml:space="preserve"> </w:t>
      </w:r>
      <w:r w:rsidRPr="00A177F4">
        <w:rPr>
          <w:rFonts w:cstheme="minorHAnsi"/>
        </w:rPr>
        <w:t xml:space="preserve">meet the </w:t>
      </w:r>
      <w:r w:rsidRPr="00A177F4">
        <w:rPr>
          <w:rFonts w:cstheme="minorHAnsi"/>
          <w:i/>
          <w:iCs/>
        </w:rPr>
        <w:t>Standard for the creation, compilation, transfer and deposition of archaeological archives</w:t>
      </w:r>
      <w:r w:rsidRPr="00A177F4">
        <w:rPr>
          <w:rFonts w:cstheme="minorHAnsi"/>
          <w:color w:val="FF0000"/>
        </w:rPr>
        <w:t xml:space="preserve"> </w:t>
      </w:r>
      <w:r w:rsidRPr="00A177F4">
        <w:rPr>
          <w:rFonts w:cstheme="minorHAnsi"/>
        </w:rPr>
        <w:t xml:space="preserve">and </w:t>
      </w:r>
      <w:r w:rsidRPr="0084594B">
        <w:rPr>
          <w:rFonts w:cstheme="minorHAnsi"/>
          <w:b/>
          <w:bCs/>
          <w:i/>
          <w:iCs/>
          <w:color w:val="0070C0"/>
        </w:rPr>
        <w:t>should</w:t>
      </w:r>
      <w:r w:rsidRPr="0084594B">
        <w:rPr>
          <w:rFonts w:cstheme="minorHAnsi"/>
          <w:color w:val="0070C0"/>
        </w:rPr>
        <w:t xml:space="preserve"> </w:t>
      </w:r>
      <w:r w:rsidRPr="00A177F4">
        <w:rPr>
          <w:rFonts w:cstheme="minorHAnsi"/>
        </w:rPr>
        <w:t>conform to the universal guidance for archaeological archives</w:t>
      </w:r>
      <w:r w:rsidR="00E244A1">
        <w:rPr>
          <w:rFonts w:cstheme="minorHAnsi"/>
        </w:rPr>
        <w:t xml:space="preserve"> </w:t>
      </w:r>
    </w:p>
    <w:p w14:paraId="67103624"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publication and dissemination proposals, detailing how the needs of relevant audiences will be met, including how the results may be usable for subsequent research</w:t>
      </w:r>
    </w:p>
    <w:p w14:paraId="73FA00F4"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copyright</w:t>
      </w:r>
    </w:p>
    <w:p w14:paraId="590396D6"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staffing, resources (excluding financial) and consideration of timescale</w:t>
      </w:r>
    </w:p>
    <w:p w14:paraId="79BE75DE"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a statement on compliance with relevant professional ethical and technical standards (including data standards), legislation and appropriate guidance</w:t>
      </w:r>
    </w:p>
    <w:p w14:paraId="1ABCB598"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a tailored statement on how public benefit will be delivered, including consideration of the potential for engagement and participation</w:t>
      </w:r>
    </w:p>
    <w:p w14:paraId="548F4A14"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health and safety considerations</w:t>
      </w:r>
    </w:p>
    <w:p w14:paraId="1819D482"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reference to the environmental protection policy (including carbon reduction plan) applying to the project</w:t>
      </w:r>
    </w:p>
    <w:p w14:paraId="31FA40A4"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monitoring procedures</w:t>
      </w:r>
    </w:p>
    <w:p w14:paraId="688E9D01"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contingency arrangements</w:t>
      </w:r>
    </w:p>
    <w:p w14:paraId="422A2FDE" w14:textId="77777777" w:rsidR="001B4571" w:rsidRPr="00A177F4" w:rsidRDefault="001B4571" w:rsidP="001B4571">
      <w:pPr>
        <w:widowControl w:val="0"/>
        <w:rPr>
          <w:rFonts w:cstheme="minorHAnsi"/>
        </w:rPr>
      </w:pPr>
    </w:p>
    <w:p w14:paraId="7EA5B20C" w14:textId="441962D8" w:rsidR="006E16ED" w:rsidRPr="006E16ED" w:rsidRDefault="006E16ED" w:rsidP="006E16ED">
      <w:pPr>
        <w:pStyle w:val="ListParagraph"/>
        <w:widowControl w:val="0"/>
        <w:numPr>
          <w:ilvl w:val="1"/>
          <w:numId w:val="1"/>
        </w:numPr>
        <w:spacing w:after="0" w:line="240" w:lineRule="auto"/>
        <w:rPr>
          <w:rFonts w:cstheme="minorHAnsi"/>
        </w:rPr>
      </w:pPr>
      <w:bookmarkStart w:id="0" w:name="_Toc408578378"/>
      <w:r w:rsidRPr="006E16ED">
        <w:rPr>
          <w:rFonts w:cstheme="minorHAnsi"/>
        </w:rPr>
        <w:t xml:space="preserve">All those engaged in the project, including monitors and those commissioning work, </w:t>
      </w:r>
      <w:r w:rsidRPr="0084594B">
        <w:rPr>
          <w:rFonts w:cstheme="minorHAnsi"/>
          <w:b/>
          <w:bCs/>
          <w:i/>
          <w:iCs/>
          <w:color w:val="0070C0"/>
        </w:rPr>
        <w:t>should</w:t>
      </w:r>
      <w:r w:rsidRPr="006E16ED">
        <w:rPr>
          <w:rFonts w:cstheme="minorHAnsi"/>
        </w:rPr>
        <w:t xml:space="preserve"> have read and understood the project design. </w:t>
      </w:r>
      <w:r>
        <w:rPr>
          <w:rFonts w:cstheme="minorHAnsi"/>
        </w:rPr>
        <w:br/>
      </w:r>
    </w:p>
    <w:p w14:paraId="35AC792F" w14:textId="1CF1C6EC" w:rsidR="006E16ED" w:rsidRPr="006E16ED" w:rsidRDefault="006E16ED" w:rsidP="006E16ED">
      <w:pPr>
        <w:pStyle w:val="ListParagraph"/>
        <w:widowControl w:val="0"/>
        <w:numPr>
          <w:ilvl w:val="1"/>
          <w:numId w:val="1"/>
        </w:numPr>
        <w:spacing w:after="0" w:line="240" w:lineRule="auto"/>
        <w:rPr>
          <w:rFonts w:cstheme="minorHAnsi"/>
        </w:rPr>
      </w:pPr>
      <w:r w:rsidRPr="006E16ED">
        <w:rPr>
          <w:rFonts w:cstheme="minorHAnsi"/>
        </w:rPr>
        <w:t xml:space="preserve">The proposed project team </w:t>
      </w:r>
      <w:r w:rsidRPr="0084594B">
        <w:rPr>
          <w:rFonts w:cstheme="minorHAnsi"/>
          <w:b/>
          <w:bCs/>
          <w:i/>
          <w:iCs/>
          <w:color w:val="0070C0"/>
        </w:rPr>
        <w:t>should</w:t>
      </w:r>
      <w:r w:rsidRPr="006E16ED">
        <w:rPr>
          <w:rFonts w:cstheme="minorHAnsi"/>
        </w:rPr>
        <w:t xml:space="preserve"> have access to suitable expertise to assess the significance of remains including in relation to relevant research frameworks. </w:t>
      </w:r>
      <w:r>
        <w:rPr>
          <w:rFonts w:cstheme="minorHAnsi"/>
        </w:rPr>
        <w:br/>
      </w:r>
    </w:p>
    <w:p w14:paraId="34B1DF9C" w14:textId="77D382AC" w:rsidR="006E16ED" w:rsidRPr="006E16ED" w:rsidRDefault="006E16ED" w:rsidP="006E16ED">
      <w:pPr>
        <w:pStyle w:val="ListParagraph"/>
        <w:widowControl w:val="0"/>
        <w:numPr>
          <w:ilvl w:val="1"/>
          <w:numId w:val="1"/>
        </w:numPr>
        <w:spacing w:after="0" w:line="240" w:lineRule="auto"/>
        <w:rPr>
          <w:rFonts w:cstheme="minorHAnsi"/>
        </w:rPr>
      </w:pPr>
      <w:r w:rsidRPr="006E16ED">
        <w:rPr>
          <w:rFonts w:cstheme="minorHAnsi"/>
        </w:rPr>
        <w:t xml:space="preserve">It is advisable for archaeological </w:t>
      </w:r>
      <w:r w:rsidR="00460CF9">
        <w:rPr>
          <w:rFonts w:cstheme="minorHAnsi"/>
        </w:rPr>
        <w:t xml:space="preserve">watching brief </w:t>
      </w:r>
      <w:r w:rsidRPr="006E16ED">
        <w:rPr>
          <w:rFonts w:cstheme="minorHAnsi"/>
        </w:rPr>
        <w:t xml:space="preserve">projects to be governed by a written contract or agreement to which the project design </w:t>
      </w:r>
      <w:r w:rsidRPr="0084594B">
        <w:rPr>
          <w:rFonts w:cstheme="minorHAnsi"/>
          <w:b/>
          <w:bCs/>
          <w:i/>
          <w:iCs/>
          <w:color w:val="BF8F00" w:themeColor="accent4" w:themeShade="BF"/>
        </w:rPr>
        <w:t>may</w:t>
      </w:r>
      <w:r w:rsidRPr="006E16ED">
        <w:rPr>
          <w:rFonts w:cstheme="minorHAnsi"/>
        </w:rPr>
        <w:t xml:space="preserve"> be attached. </w:t>
      </w:r>
      <w:r>
        <w:rPr>
          <w:rFonts w:cstheme="minorHAnsi"/>
        </w:rPr>
        <w:br/>
      </w:r>
    </w:p>
    <w:p w14:paraId="79D286FD" w14:textId="31FEDB66" w:rsidR="001B4571" w:rsidRDefault="006E16ED" w:rsidP="006E16ED">
      <w:pPr>
        <w:pStyle w:val="ListParagraph"/>
        <w:widowControl w:val="0"/>
        <w:numPr>
          <w:ilvl w:val="1"/>
          <w:numId w:val="1"/>
        </w:numPr>
        <w:spacing w:after="0" w:line="240" w:lineRule="auto"/>
        <w:rPr>
          <w:rFonts w:cstheme="minorHAnsi"/>
        </w:rPr>
      </w:pPr>
      <w:r w:rsidRPr="006E16ED">
        <w:rPr>
          <w:rFonts w:cstheme="minorHAnsi"/>
        </w:rPr>
        <w:t>It is advisable to include statements on ownership of the paper and digital archive and copyright in a written contract or agreement.</w:t>
      </w:r>
    </w:p>
    <w:p w14:paraId="715EEC45" w14:textId="77777777" w:rsidR="00460CF9" w:rsidRPr="006E16ED" w:rsidRDefault="00460CF9" w:rsidP="000973CD">
      <w:pPr>
        <w:pStyle w:val="ListParagraph"/>
        <w:widowControl w:val="0"/>
        <w:spacing w:after="0" w:line="240" w:lineRule="auto"/>
        <w:ind w:left="907"/>
        <w:rPr>
          <w:rFonts w:cstheme="minorHAnsi"/>
        </w:rPr>
      </w:pPr>
    </w:p>
    <w:p w14:paraId="5D2635CA" w14:textId="77777777" w:rsidR="00436571" w:rsidRDefault="00436571" w:rsidP="00436571">
      <w:pPr>
        <w:pStyle w:val="ListParagraph"/>
        <w:rPr>
          <w:rFonts w:cstheme="minorHAnsi"/>
        </w:rPr>
      </w:pPr>
    </w:p>
    <w:p w14:paraId="498B0F28" w14:textId="77777777" w:rsidR="006E012D" w:rsidRDefault="006E012D" w:rsidP="00436571">
      <w:pPr>
        <w:pStyle w:val="ListParagraph"/>
        <w:rPr>
          <w:rFonts w:cstheme="minorHAnsi"/>
        </w:rPr>
      </w:pPr>
    </w:p>
    <w:p w14:paraId="57C39BFB" w14:textId="77777777" w:rsidR="006E012D" w:rsidRPr="00436571" w:rsidRDefault="006E012D" w:rsidP="00436571">
      <w:pPr>
        <w:pStyle w:val="ListParagraph"/>
        <w:rPr>
          <w:rFonts w:cstheme="minorHAnsi"/>
        </w:rPr>
      </w:pPr>
    </w:p>
    <w:p w14:paraId="168A8505" w14:textId="1EE8CD8D" w:rsidR="00744061" w:rsidRDefault="00436571" w:rsidP="00744061">
      <w:pPr>
        <w:pStyle w:val="ListParagraph"/>
        <w:widowControl w:val="0"/>
        <w:numPr>
          <w:ilvl w:val="0"/>
          <w:numId w:val="1"/>
        </w:numPr>
        <w:spacing w:after="0" w:line="240" w:lineRule="auto"/>
        <w:rPr>
          <w:rFonts w:cstheme="minorHAnsi"/>
          <w:b/>
          <w:bCs/>
          <w:sz w:val="28"/>
          <w:szCs w:val="28"/>
        </w:rPr>
      </w:pPr>
      <w:r w:rsidRPr="00436571">
        <w:rPr>
          <w:rFonts w:cstheme="minorHAnsi"/>
          <w:b/>
          <w:bCs/>
          <w:sz w:val="28"/>
          <w:szCs w:val="28"/>
        </w:rPr>
        <w:lastRenderedPageBreak/>
        <w:t>Project execution</w:t>
      </w:r>
      <w:r w:rsidR="00744061">
        <w:rPr>
          <w:rFonts w:cstheme="minorHAnsi"/>
          <w:b/>
          <w:bCs/>
          <w:sz w:val="28"/>
          <w:szCs w:val="28"/>
        </w:rPr>
        <w:br/>
      </w:r>
    </w:p>
    <w:p w14:paraId="6055658A" w14:textId="47255A77" w:rsidR="00744061" w:rsidRPr="00744061" w:rsidRDefault="00744061" w:rsidP="00744061">
      <w:pPr>
        <w:pStyle w:val="ListParagraph"/>
        <w:widowControl w:val="0"/>
        <w:numPr>
          <w:ilvl w:val="1"/>
          <w:numId w:val="1"/>
        </w:numPr>
        <w:spacing w:after="0" w:line="240" w:lineRule="auto"/>
        <w:rPr>
          <w:rFonts w:cstheme="minorHAnsi"/>
        </w:rPr>
      </w:pPr>
      <w:r w:rsidRPr="00744061">
        <w:t xml:space="preserve">Work </w:t>
      </w:r>
      <w:r w:rsidRPr="00EF30F3">
        <w:rPr>
          <w:b/>
          <w:bCs/>
          <w:i/>
          <w:iCs/>
          <w:color w:val="0070C0"/>
        </w:rPr>
        <w:t>should</w:t>
      </w:r>
      <w:r w:rsidRPr="00744061">
        <w:t xml:space="preserve"> be undertaken in accordance with the project design. Any variations</w:t>
      </w:r>
      <w:r w:rsidRPr="00CE1626">
        <w:rPr>
          <w:i/>
          <w:iCs/>
          <w:color w:val="0070C0"/>
        </w:rPr>
        <w:t xml:space="preserve"> </w:t>
      </w:r>
      <w:r w:rsidRPr="00CE1626">
        <w:rPr>
          <w:b/>
          <w:bCs/>
          <w:i/>
          <w:iCs/>
          <w:color w:val="0070C0"/>
        </w:rPr>
        <w:t>should</w:t>
      </w:r>
      <w:r w:rsidRPr="00CE1626">
        <w:rPr>
          <w:color w:val="0070C0"/>
        </w:rPr>
        <w:t xml:space="preserve"> </w:t>
      </w:r>
      <w:r w:rsidRPr="00744061">
        <w:t>be circulated and understood within the project team and agreed in writing by all relevant parties.</w:t>
      </w:r>
      <w:r>
        <w:br/>
      </w:r>
    </w:p>
    <w:p w14:paraId="230E9297" w14:textId="6B70D6BF" w:rsidR="00744061" w:rsidRPr="00744061" w:rsidRDefault="00744061" w:rsidP="00744061">
      <w:pPr>
        <w:pStyle w:val="ListParagraph"/>
        <w:widowControl w:val="0"/>
        <w:numPr>
          <w:ilvl w:val="1"/>
          <w:numId w:val="1"/>
        </w:numPr>
        <w:spacing w:after="0" w:line="240" w:lineRule="auto"/>
        <w:rPr>
          <w:rFonts w:cstheme="minorHAnsi"/>
        </w:rPr>
      </w:pPr>
      <w:r>
        <w:t>It is the role of the archaeologist undertaking the work to define appropriate staff levels. Sufficient and appropriate resources (staff, equipment, accommodation etc)</w:t>
      </w:r>
      <w:r w:rsidRPr="00611912">
        <w:rPr>
          <w:b/>
          <w:bCs/>
          <w:color w:val="ED7D31" w:themeColor="accent2"/>
        </w:rPr>
        <w:t xml:space="preserve"> </w:t>
      </w:r>
      <w:r w:rsidRPr="00CE1626">
        <w:rPr>
          <w:b/>
          <w:bCs/>
          <w:i/>
          <w:iCs/>
          <w:color w:val="0070C0"/>
        </w:rPr>
        <w:t>should</w:t>
      </w:r>
      <w:r w:rsidRPr="00611912">
        <w:rPr>
          <w:color w:val="ED7D31" w:themeColor="accent2"/>
        </w:rPr>
        <w:t xml:space="preserve"> </w:t>
      </w:r>
      <w:r>
        <w:t xml:space="preserve">be used to enable the successful completion of the project in accordance with the project design. Any contingency elements </w:t>
      </w:r>
      <w:r w:rsidRPr="00CE1626">
        <w:rPr>
          <w:b/>
          <w:bCs/>
          <w:i/>
          <w:iCs/>
          <w:color w:val="0070C0"/>
        </w:rPr>
        <w:t>should</w:t>
      </w:r>
      <w:r>
        <w:t xml:space="preserve"> be clearly identified and justified.</w:t>
      </w:r>
      <w:r>
        <w:br/>
      </w:r>
    </w:p>
    <w:p w14:paraId="1B05EAB9" w14:textId="1BC8767C" w:rsidR="003C418E" w:rsidRPr="003C418E" w:rsidRDefault="00744061" w:rsidP="00744061">
      <w:pPr>
        <w:pStyle w:val="ListParagraph"/>
        <w:widowControl w:val="0"/>
        <w:numPr>
          <w:ilvl w:val="1"/>
          <w:numId w:val="1"/>
        </w:numPr>
        <w:spacing w:after="0" w:line="240" w:lineRule="auto"/>
        <w:rPr>
          <w:rFonts w:cstheme="minorHAnsi"/>
        </w:rPr>
      </w:pPr>
      <w:r>
        <w:t xml:space="preserve">Commissioning bodies and monitors </w:t>
      </w:r>
      <w:r w:rsidRPr="00CE1626">
        <w:rPr>
          <w:b/>
          <w:bCs/>
          <w:i/>
          <w:iCs/>
          <w:color w:val="0070C0"/>
        </w:rPr>
        <w:t>should</w:t>
      </w:r>
      <w:r w:rsidRPr="00611912">
        <w:rPr>
          <w:b/>
          <w:bCs/>
          <w:color w:val="ED7D31" w:themeColor="accent2"/>
        </w:rPr>
        <w:t xml:space="preserve"> </w:t>
      </w:r>
      <w:r>
        <w:t xml:space="preserve">be advised that a reasonable degree of flexibility and professional judgement </w:t>
      </w:r>
      <w:r w:rsidRPr="00232B2F">
        <w:t xml:space="preserve">may </w:t>
      </w:r>
      <w:r>
        <w:t xml:space="preserve">be necessary to meet project objectives. It </w:t>
      </w:r>
      <w:r w:rsidRPr="00CE1626">
        <w:rPr>
          <w:b/>
          <w:bCs/>
          <w:i/>
          <w:iCs/>
          <w:color w:val="0070C0"/>
        </w:rPr>
        <w:t>should</w:t>
      </w:r>
      <w:r w:rsidRPr="00CE1626">
        <w:rPr>
          <w:i/>
          <w:iCs/>
          <w:color w:val="0070C0"/>
        </w:rPr>
        <w:t xml:space="preserve"> </w:t>
      </w:r>
      <w:r>
        <w:t xml:space="preserve">be clear that the nature and scale of post-investigation analyses, publications and the archive will be tailored to the significance and research potential of the assets. </w:t>
      </w:r>
      <w:r w:rsidR="003C418E">
        <w:br/>
      </w:r>
    </w:p>
    <w:p w14:paraId="597554C1" w14:textId="74762D30" w:rsidR="003C418E" w:rsidRDefault="003C418E" w:rsidP="003C418E">
      <w:pPr>
        <w:pStyle w:val="ListParagraph"/>
        <w:widowControl w:val="0"/>
        <w:numPr>
          <w:ilvl w:val="1"/>
          <w:numId w:val="1"/>
        </w:numPr>
        <w:spacing w:after="0" w:line="240" w:lineRule="auto"/>
      </w:pPr>
      <w:r>
        <w:t xml:space="preserve">On arrival on site, the archaeologist </w:t>
      </w:r>
      <w:r w:rsidRPr="00CE1626">
        <w:rPr>
          <w:b/>
          <w:bCs/>
          <w:i/>
          <w:iCs/>
          <w:color w:val="0070C0"/>
        </w:rPr>
        <w:t>should</w:t>
      </w:r>
      <w:r w:rsidRPr="003C418E">
        <w:rPr>
          <w:b/>
          <w:bCs/>
          <w:color w:val="ED7D31" w:themeColor="accent2"/>
        </w:rPr>
        <w:t xml:space="preserve"> </w:t>
      </w:r>
      <w:r>
        <w:t>report to the site manager or other identified representative of the principal contractors or developers and conform to their arrangements for notification of entering and leaving site.</w:t>
      </w:r>
      <w:r>
        <w:br/>
      </w:r>
    </w:p>
    <w:p w14:paraId="0541641B" w14:textId="4988EF67" w:rsidR="003C418E" w:rsidRDefault="003C418E" w:rsidP="003C418E">
      <w:pPr>
        <w:pStyle w:val="ListParagraph"/>
        <w:widowControl w:val="0"/>
        <w:numPr>
          <w:ilvl w:val="1"/>
          <w:numId w:val="1"/>
        </w:numPr>
        <w:spacing w:after="0" w:line="240" w:lineRule="auto"/>
      </w:pPr>
      <w:r>
        <w:t xml:space="preserve">Where the archaeologist has by instruction or agreement the power to suspend development work, they shall, in exercising such power, follow procedures previously agreed with all relevant parties and in accordance with the project design. Where possible, the archaeologist </w:t>
      </w:r>
      <w:r w:rsidRPr="00CE1626">
        <w:rPr>
          <w:b/>
          <w:bCs/>
          <w:i/>
          <w:iCs/>
          <w:color w:val="0070C0"/>
        </w:rPr>
        <w:t>should</w:t>
      </w:r>
      <w:r>
        <w:t xml:space="preserve"> not cause unreasonable disruption to the maintenance of the work schedules of other contractors.</w:t>
      </w:r>
      <w:r>
        <w:br/>
      </w:r>
    </w:p>
    <w:p w14:paraId="149DEF49" w14:textId="48A12FDD" w:rsidR="00744061" w:rsidRPr="0020547F" w:rsidRDefault="003C418E" w:rsidP="0020547F">
      <w:pPr>
        <w:pStyle w:val="ListParagraph"/>
        <w:widowControl w:val="0"/>
        <w:numPr>
          <w:ilvl w:val="1"/>
          <w:numId w:val="1"/>
        </w:numPr>
        <w:spacing w:after="0" w:line="240" w:lineRule="auto"/>
      </w:pPr>
      <w:r>
        <w:t xml:space="preserve">An archaeologist </w:t>
      </w:r>
      <w:r w:rsidRPr="00CE1626">
        <w:rPr>
          <w:b/>
          <w:bCs/>
          <w:i/>
          <w:iCs/>
          <w:color w:val="0070C0"/>
        </w:rPr>
        <w:t>should</w:t>
      </w:r>
      <w:r>
        <w:t xml:space="preserve"> keep a record of the date, time and duration of all visits, the number of staff concerned, and any actions taken.</w:t>
      </w:r>
      <w:r w:rsidR="00744061">
        <w:br/>
      </w:r>
    </w:p>
    <w:p w14:paraId="008CEC78" w14:textId="5CDF1C53" w:rsidR="00744061" w:rsidRPr="00744061" w:rsidRDefault="00744061" w:rsidP="00744061">
      <w:pPr>
        <w:pStyle w:val="ListParagraph"/>
        <w:widowControl w:val="0"/>
        <w:numPr>
          <w:ilvl w:val="1"/>
          <w:numId w:val="1"/>
        </w:numPr>
        <w:spacing w:after="0" w:line="240" w:lineRule="auto"/>
        <w:rPr>
          <w:rFonts w:cstheme="minorHAnsi"/>
        </w:rPr>
      </w:pPr>
      <w:r>
        <w:t xml:space="preserve">The potential of the data and material to answer the research questions identified in the project design </w:t>
      </w:r>
      <w:r w:rsidRPr="00CE1626">
        <w:rPr>
          <w:b/>
          <w:bCs/>
          <w:i/>
          <w:iCs/>
          <w:color w:val="0070C0"/>
        </w:rPr>
        <w:t>should</w:t>
      </w:r>
      <w:r w:rsidRPr="00CE1626">
        <w:rPr>
          <w:i/>
          <w:iCs/>
          <w:color w:val="0070C0"/>
        </w:rPr>
        <w:t xml:space="preserve"> </w:t>
      </w:r>
      <w:r>
        <w:t xml:space="preserve">be assessed by competent specialists. Artefacts and ecofacts </w:t>
      </w:r>
      <w:r w:rsidRPr="00CE1626">
        <w:rPr>
          <w:b/>
          <w:bCs/>
          <w:i/>
          <w:iCs/>
          <w:color w:val="0070C0"/>
        </w:rPr>
        <w:t xml:space="preserve">should </w:t>
      </w:r>
      <w:r>
        <w:t xml:space="preserve">be assessed and reported on in accordance with </w:t>
      </w:r>
      <w:r w:rsidRPr="00611912">
        <w:rPr>
          <w:i/>
          <w:iCs/>
        </w:rPr>
        <w:t>CIfA Standard for the collection, documentation, conservation and research of archaeological materials</w:t>
      </w:r>
      <w:r>
        <w:t xml:space="preserve"> </w:t>
      </w:r>
      <w:r w:rsidR="00611912">
        <w:t>and the corresponding guidance</w:t>
      </w:r>
      <w:r w:rsidR="00611912" w:rsidRPr="00611912">
        <w:t>.</w:t>
      </w:r>
      <w:r w:rsidRPr="00611912">
        <w:rPr>
          <w:color w:val="FF0000"/>
        </w:rPr>
        <w:t xml:space="preserve"> </w:t>
      </w:r>
      <w:r>
        <w:t>The level of recording and analysis</w:t>
      </w:r>
      <w:r w:rsidRPr="00CE1626">
        <w:rPr>
          <w:i/>
          <w:iCs/>
          <w:color w:val="0070C0"/>
        </w:rPr>
        <w:t xml:space="preserve"> </w:t>
      </w:r>
      <w:r w:rsidRPr="00CE1626">
        <w:rPr>
          <w:b/>
          <w:bCs/>
          <w:i/>
          <w:iCs/>
          <w:color w:val="0070C0"/>
        </w:rPr>
        <w:t>should</w:t>
      </w:r>
      <w:r w:rsidRPr="00CE1626">
        <w:rPr>
          <w:color w:val="0070C0"/>
        </w:rPr>
        <w:t xml:space="preserve"> </w:t>
      </w:r>
      <w:r>
        <w:t xml:space="preserve">be appropriate to the aims and purpose of the project and </w:t>
      </w:r>
      <w:r w:rsidRPr="00CE1626">
        <w:rPr>
          <w:b/>
          <w:bCs/>
          <w:i/>
          <w:iCs/>
          <w:color w:val="0070C0"/>
        </w:rPr>
        <w:t>should</w:t>
      </w:r>
      <w:r>
        <w:t xml:space="preserve"> take account of the potential of artefacts and ecofacts to contribute to the understanding of the nature, extent and significance of a site or asset.</w:t>
      </w:r>
      <w:r>
        <w:br/>
      </w:r>
    </w:p>
    <w:p w14:paraId="6D839758" w14:textId="6C52064C" w:rsidR="00744061" w:rsidRPr="00744061" w:rsidRDefault="00744061" w:rsidP="00744061">
      <w:pPr>
        <w:pStyle w:val="ListParagraph"/>
        <w:widowControl w:val="0"/>
        <w:numPr>
          <w:ilvl w:val="1"/>
          <w:numId w:val="1"/>
        </w:numPr>
        <w:spacing w:after="0" w:line="240" w:lineRule="auto"/>
        <w:rPr>
          <w:rFonts w:cstheme="minorHAnsi"/>
        </w:rPr>
      </w:pPr>
      <w:r>
        <w:t xml:space="preserve">Data generated as a result of assessment and/or analysis </w:t>
      </w:r>
      <w:r w:rsidRPr="008F16A2">
        <w:rPr>
          <w:b/>
          <w:bCs/>
          <w:i/>
          <w:iCs/>
          <w:color w:val="0070C0"/>
        </w:rPr>
        <w:t xml:space="preserve">should </w:t>
      </w:r>
      <w:r>
        <w:t>be included in the project archive in accordance with the selection and deposition strategy, where applicable.</w:t>
      </w:r>
      <w:r>
        <w:br/>
      </w:r>
    </w:p>
    <w:p w14:paraId="0F212B4C" w14:textId="442488C1" w:rsidR="00A14A57" w:rsidRPr="00A14A57" w:rsidRDefault="00744061" w:rsidP="00744061">
      <w:pPr>
        <w:pStyle w:val="ListParagraph"/>
        <w:widowControl w:val="0"/>
        <w:numPr>
          <w:ilvl w:val="1"/>
          <w:numId w:val="1"/>
        </w:numPr>
        <w:spacing w:after="0" w:line="240" w:lineRule="auto"/>
        <w:rPr>
          <w:rFonts w:cstheme="minorHAnsi"/>
        </w:rPr>
      </w:pPr>
      <w:r>
        <w:t xml:space="preserve">The archaeologist undertaking the work </w:t>
      </w:r>
      <w:r w:rsidRPr="008F16A2">
        <w:rPr>
          <w:b/>
          <w:bCs/>
          <w:i/>
          <w:iCs/>
          <w:color w:val="0070C0"/>
        </w:rPr>
        <w:t>should</w:t>
      </w:r>
      <w:r w:rsidRPr="008F16A2">
        <w:rPr>
          <w:i/>
          <w:iCs/>
          <w:color w:val="0070C0"/>
        </w:rPr>
        <w:t xml:space="preserve"> </w:t>
      </w:r>
      <w:r>
        <w:t>respect the requirements of the client or commissioning body concerning confidentiality, but the archaeologist</w:t>
      </w:r>
      <w:r w:rsidRPr="00232430">
        <w:rPr>
          <w:b/>
          <w:bCs/>
          <w:color w:val="FF0000"/>
        </w:rPr>
        <w:t xml:space="preserve"> </w:t>
      </w:r>
      <w:r w:rsidRPr="008C0206">
        <w:rPr>
          <w:b/>
          <w:bCs/>
          <w:i/>
          <w:iCs/>
          <w:color w:val="ED7D31" w:themeColor="accent2"/>
        </w:rPr>
        <w:t>must</w:t>
      </w:r>
      <w:r w:rsidRPr="00232430">
        <w:rPr>
          <w:color w:val="FF0000"/>
        </w:rPr>
        <w:t xml:space="preserve"> </w:t>
      </w:r>
      <w:r>
        <w:t>emphasise their professional obligation to make the results of archaeological work available to the wider archaeological community within a reasonable time</w:t>
      </w:r>
      <w:r w:rsidR="008C0206">
        <w:t>.</w:t>
      </w:r>
      <w:r w:rsidR="00611912">
        <w:t xml:space="preserve"> </w:t>
      </w:r>
      <w:r w:rsidR="00A14A57">
        <w:br/>
      </w:r>
    </w:p>
    <w:p w14:paraId="617BFF4A" w14:textId="0A23AE6C" w:rsidR="00FF440B" w:rsidRPr="00FF440B" w:rsidRDefault="00744061" w:rsidP="00A14A57">
      <w:pPr>
        <w:pStyle w:val="ListParagraph"/>
        <w:widowControl w:val="0"/>
        <w:numPr>
          <w:ilvl w:val="1"/>
          <w:numId w:val="1"/>
        </w:numPr>
        <w:spacing w:after="0" w:line="240" w:lineRule="auto"/>
        <w:rPr>
          <w:rFonts w:cstheme="minorHAnsi"/>
        </w:rPr>
      </w:pPr>
      <w:r>
        <w:t xml:space="preserve">Subject to any reasonable contractual requirements on confidentiality, copies of the report </w:t>
      </w:r>
      <w:r w:rsidRPr="008C0206">
        <w:rPr>
          <w:b/>
          <w:bCs/>
          <w:i/>
          <w:iCs/>
          <w:color w:val="0070C0"/>
        </w:rPr>
        <w:t>should</w:t>
      </w:r>
      <w:r w:rsidRPr="004472C3">
        <w:rPr>
          <w:b/>
          <w:bCs/>
          <w:color w:val="ED7D31" w:themeColor="accent2"/>
        </w:rPr>
        <w:t xml:space="preserve"> </w:t>
      </w:r>
      <w:r>
        <w:t xml:space="preserve">be submitted to an appropriate national or local record within a reasonable timeframe. </w:t>
      </w:r>
      <w:r w:rsidR="00FF440B">
        <w:br/>
      </w:r>
    </w:p>
    <w:p w14:paraId="7F074A3A" w14:textId="73901DD6" w:rsidR="00A57A93" w:rsidRPr="00A57A93" w:rsidRDefault="00744061" w:rsidP="00A14A57">
      <w:pPr>
        <w:pStyle w:val="ListParagraph"/>
        <w:widowControl w:val="0"/>
        <w:numPr>
          <w:ilvl w:val="1"/>
          <w:numId w:val="1"/>
        </w:numPr>
        <w:spacing w:after="0" w:line="240" w:lineRule="auto"/>
        <w:rPr>
          <w:rFonts w:cstheme="minorHAnsi"/>
        </w:rPr>
      </w:pPr>
      <w:r>
        <w:t xml:space="preserve">Consideration </w:t>
      </w:r>
      <w:r w:rsidRPr="008C0206">
        <w:rPr>
          <w:b/>
          <w:bCs/>
          <w:i/>
          <w:iCs/>
          <w:color w:val="0070C0"/>
        </w:rPr>
        <w:t>should</w:t>
      </w:r>
      <w:r>
        <w:t xml:space="preserve"> be given to the online availability of the digital report to ensure that </w:t>
      </w:r>
      <w:r>
        <w:lastRenderedPageBreak/>
        <w:t>the results of the project are readily available to support future research and/or decisions about the site or asset.</w:t>
      </w:r>
      <w:r w:rsidR="00A57A93">
        <w:br/>
      </w:r>
    </w:p>
    <w:p w14:paraId="09855980" w14:textId="19E0AFE8" w:rsidR="00426B59" w:rsidRPr="00A57A93" w:rsidRDefault="00A57A93" w:rsidP="00A57A93">
      <w:pPr>
        <w:pStyle w:val="ListParagraph"/>
        <w:numPr>
          <w:ilvl w:val="1"/>
          <w:numId w:val="1"/>
        </w:numPr>
      </w:pPr>
      <w:r w:rsidRPr="00A57A93">
        <w:t xml:space="preserve">The report </w:t>
      </w:r>
      <w:r w:rsidRPr="008C0206">
        <w:rPr>
          <w:b/>
          <w:bCs/>
          <w:i/>
          <w:iCs/>
          <w:color w:val="0070C0"/>
        </w:rPr>
        <w:t>should</w:t>
      </w:r>
      <w:r w:rsidRPr="00A57A93">
        <w:t xml:space="preserve"> normally include </w:t>
      </w:r>
      <w:r w:rsidR="00790540">
        <w:br/>
      </w:r>
    </w:p>
    <w:p w14:paraId="363B4DD7" w14:textId="0A59AEE5" w:rsidR="009D195D" w:rsidRPr="009D195D" w:rsidRDefault="009D195D" w:rsidP="009D195D">
      <w:pPr>
        <w:pStyle w:val="ListParagraph"/>
        <w:widowControl w:val="0"/>
        <w:numPr>
          <w:ilvl w:val="0"/>
          <w:numId w:val="26"/>
        </w:numPr>
        <w:spacing w:after="0" w:line="240" w:lineRule="auto"/>
        <w:rPr>
          <w:rFonts w:cstheme="minorHAnsi"/>
        </w:rPr>
      </w:pPr>
      <w:r w:rsidRPr="009D195D">
        <w:rPr>
          <w:rFonts w:cstheme="minorHAnsi"/>
        </w:rPr>
        <w:t>non-technical summary</w:t>
      </w:r>
    </w:p>
    <w:p w14:paraId="1C2605ED" w14:textId="77777777" w:rsidR="009D195D" w:rsidRPr="009D195D" w:rsidRDefault="009D195D" w:rsidP="009D195D">
      <w:pPr>
        <w:pStyle w:val="ListParagraph"/>
        <w:widowControl w:val="0"/>
        <w:numPr>
          <w:ilvl w:val="0"/>
          <w:numId w:val="26"/>
        </w:numPr>
        <w:spacing w:after="0" w:line="240" w:lineRule="auto"/>
        <w:rPr>
          <w:rFonts w:cstheme="minorHAnsi"/>
        </w:rPr>
      </w:pPr>
      <w:r w:rsidRPr="009D195D">
        <w:rPr>
          <w:rFonts w:cstheme="minorHAnsi"/>
        </w:rPr>
        <w:t xml:space="preserve">the project design or appropriate reference to it </w:t>
      </w:r>
    </w:p>
    <w:p w14:paraId="79BE203F" w14:textId="77777777" w:rsidR="009D195D" w:rsidRPr="009D195D" w:rsidRDefault="009D195D" w:rsidP="009D195D">
      <w:pPr>
        <w:pStyle w:val="ListParagraph"/>
        <w:widowControl w:val="0"/>
        <w:numPr>
          <w:ilvl w:val="0"/>
          <w:numId w:val="26"/>
        </w:numPr>
        <w:spacing w:after="0" w:line="240" w:lineRule="auto"/>
        <w:rPr>
          <w:rFonts w:cstheme="minorHAnsi"/>
        </w:rPr>
      </w:pPr>
      <w:r w:rsidRPr="009D195D">
        <w:rPr>
          <w:rFonts w:cstheme="minorHAnsi"/>
        </w:rPr>
        <w:t xml:space="preserve">the aims, objectives and methods used, including any departure from the project design </w:t>
      </w:r>
    </w:p>
    <w:p w14:paraId="0DE81836" w14:textId="77777777" w:rsidR="009D195D" w:rsidRPr="009D195D" w:rsidRDefault="009D195D" w:rsidP="009D195D">
      <w:pPr>
        <w:pStyle w:val="ListParagraph"/>
        <w:widowControl w:val="0"/>
        <w:numPr>
          <w:ilvl w:val="0"/>
          <w:numId w:val="26"/>
        </w:numPr>
        <w:spacing w:after="0" w:line="240" w:lineRule="auto"/>
        <w:rPr>
          <w:rFonts w:cstheme="minorHAnsi"/>
        </w:rPr>
      </w:pPr>
      <w:r w:rsidRPr="009D195D">
        <w:rPr>
          <w:rFonts w:cstheme="minorHAnsi"/>
        </w:rPr>
        <w:t xml:space="preserve">results, referring to the research aims in the project design including research implications </w:t>
      </w:r>
    </w:p>
    <w:p w14:paraId="1BF584E5" w14:textId="77777777" w:rsidR="009D195D" w:rsidRPr="009D195D" w:rsidRDefault="009D195D" w:rsidP="009D195D">
      <w:pPr>
        <w:pStyle w:val="ListParagraph"/>
        <w:widowControl w:val="0"/>
        <w:numPr>
          <w:ilvl w:val="0"/>
          <w:numId w:val="26"/>
        </w:numPr>
        <w:spacing w:after="0" w:line="240" w:lineRule="auto"/>
        <w:rPr>
          <w:rFonts w:cstheme="minorHAnsi"/>
        </w:rPr>
      </w:pPr>
      <w:r w:rsidRPr="009D195D">
        <w:rPr>
          <w:rFonts w:cstheme="minorHAnsi"/>
        </w:rPr>
        <w:t xml:space="preserve">illustrations, plans, essential technical and supporting detail with accurate location information </w:t>
      </w:r>
    </w:p>
    <w:p w14:paraId="34F7FE4A" w14:textId="77777777" w:rsidR="009D195D" w:rsidRPr="009D195D" w:rsidRDefault="009D195D" w:rsidP="009D195D">
      <w:pPr>
        <w:pStyle w:val="ListParagraph"/>
        <w:widowControl w:val="0"/>
        <w:numPr>
          <w:ilvl w:val="0"/>
          <w:numId w:val="26"/>
        </w:numPr>
        <w:spacing w:after="0" w:line="240" w:lineRule="auto"/>
        <w:rPr>
          <w:rFonts w:cstheme="minorHAnsi"/>
        </w:rPr>
      </w:pPr>
      <w:r w:rsidRPr="009D195D">
        <w:rPr>
          <w:rFonts w:cstheme="minorHAnsi"/>
        </w:rPr>
        <w:t xml:space="preserve">conclusions, which </w:t>
      </w:r>
      <w:r w:rsidRPr="008C0206">
        <w:rPr>
          <w:rFonts w:cstheme="minorHAnsi"/>
          <w:b/>
          <w:bCs/>
          <w:i/>
          <w:iCs/>
          <w:color w:val="0070C0"/>
        </w:rPr>
        <w:t>should</w:t>
      </w:r>
      <w:r w:rsidRPr="009D195D">
        <w:rPr>
          <w:rFonts w:cstheme="minorHAnsi"/>
        </w:rPr>
        <w:t xml:space="preserve"> include a confidence rating on techniques used, and any recommendations on further work that might improve that confidence</w:t>
      </w:r>
    </w:p>
    <w:p w14:paraId="28E32018" w14:textId="2D9731D4" w:rsidR="009D195D" w:rsidRPr="009D195D" w:rsidRDefault="009D195D" w:rsidP="009D195D">
      <w:pPr>
        <w:pStyle w:val="ListParagraph"/>
        <w:widowControl w:val="0"/>
        <w:numPr>
          <w:ilvl w:val="0"/>
          <w:numId w:val="26"/>
        </w:numPr>
        <w:spacing w:after="0" w:line="240" w:lineRule="auto"/>
        <w:rPr>
          <w:rFonts w:cstheme="minorHAnsi"/>
          <w:b/>
          <w:bCs/>
          <w:color w:val="FF0000"/>
        </w:rPr>
      </w:pPr>
      <w:r w:rsidRPr="00131367">
        <w:rPr>
          <w:rFonts w:cstheme="minorHAnsi"/>
        </w:rPr>
        <w:t>archive locations (pre and post deposition if known)</w:t>
      </w:r>
      <w:r w:rsidRPr="009D195D">
        <w:rPr>
          <w:rFonts w:cstheme="minorHAnsi"/>
        </w:rPr>
        <w:t xml:space="preserve"> </w:t>
      </w:r>
    </w:p>
    <w:p w14:paraId="2C530FF0" w14:textId="77777777" w:rsidR="009D195D" w:rsidRPr="009D195D" w:rsidRDefault="009D195D" w:rsidP="009D195D">
      <w:pPr>
        <w:pStyle w:val="ListParagraph"/>
        <w:widowControl w:val="0"/>
        <w:numPr>
          <w:ilvl w:val="0"/>
          <w:numId w:val="26"/>
        </w:numPr>
        <w:spacing w:after="0" w:line="240" w:lineRule="auto"/>
        <w:rPr>
          <w:rFonts w:cstheme="minorHAnsi"/>
        </w:rPr>
      </w:pPr>
      <w:r w:rsidRPr="009D195D">
        <w:rPr>
          <w:rFonts w:cstheme="minorHAnsi"/>
        </w:rPr>
        <w:t xml:space="preserve">a list of all sources used </w:t>
      </w:r>
    </w:p>
    <w:p w14:paraId="09972E27" w14:textId="77777777" w:rsidR="009D195D" w:rsidRPr="009D195D" w:rsidRDefault="009D195D" w:rsidP="009D195D">
      <w:pPr>
        <w:pStyle w:val="ListParagraph"/>
        <w:widowControl w:val="0"/>
        <w:numPr>
          <w:ilvl w:val="0"/>
          <w:numId w:val="26"/>
        </w:numPr>
        <w:spacing w:after="0" w:line="240" w:lineRule="auto"/>
        <w:rPr>
          <w:rFonts w:cstheme="minorHAnsi"/>
        </w:rPr>
      </w:pPr>
      <w:r w:rsidRPr="009D195D">
        <w:rPr>
          <w:rFonts w:cstheme="minorHAnsi"/>
        </w:rPr>
        <w:t>copyright</w:t>
      </w:r>
    </w:p>
    <w:p w14:paraId="28685792" w14:textId="38F3D1AF" w:rsidR="00790540" w:rsidRDefault="00790540" w:rsidP="00A57A93">
      <w:pPr>
        <w:pStyle w:val="ListParagraph"/>
        <w:ind w:left="907"/>
        <w:rPr>
          <w:rFonts w:cstheme="minorHAnsi"/>
        </w:rPr>
      </w:pPr>
    </w:p>
    <w:p w14:paraId="520DD652" w14:textId="7CBFF492" w:rsidR="0086232E" w:rsidRPr="0086232E" w:rsidRDefault="0086232E" w:rsidP="0086232E">
      <w:pPr>
        <w:pStyle w:val="ListParagraph"/>
        <w:numPr>
          <w:ilvl w:val="1"/>
          <w:numId w:val="1"/>
        </w:numPr>
        <w:rPr>
          <w:rFonts w:cstheme="minorHAnsi"/>
        </w:rPr>
      </w:pPr>
      <w:r w:rsidRPr="0086232E">
        <w:rPr>
          <w:rFonts w:cstheme="minorHAnsi"/>
        </w:rPr>
        <w:t xml:space="preserve">The report need not normally include all the data generated during fieldwork and post-fieldwork assessment, but this data </w:t>
      </w:r>
      <w:r w:rsidRPr="008C0206">
        <w:rPr>
          <w:rFonts w:cstheme="minorHAnsi"/>
          <w:b/>
          <w:bCs/>
          <w:i/>
          <w:iCs/>
          <w:color w:val="0070C0"/>
        </w:rPr>
        <w:t>should</w:t>
      </w:r>
      <w:r w:rsidRPr="0086232E">
        <w:rPr>
          <w:rFonts w:cstheme="minorHAnsi"/>
        </w:rPr>
        <w:t xml:space="preserve"> be included in the archive, subject to the selection and deposition strategy, (see detailed guidance sections). The report and archive </w:t>
      </w:r>
      <w:r w:rsidRPr="008C0206">
        <w:rPr>
          <w:rFonts w:cstheme="minorHAnsi"/>
          <w:b/>
          <w:bCs/>
          <w:i/>
          <w:iCs/>
          <w:color w:val="0070C0"/>
        </w:rPr>
        <w:t>should</w:t>
      </w:r>
      <w:r w:rsidRPr="0086232E">
        <w:rPr>
          <w:rFonts w:cstheme="minorHAnsi"/>
        </w:rPr>
        <w:t xml:space="preserve"> contain enough detail to allow any further phases of work to be appropriately designed and planned</w:t>
      </w:r>
      <w:r w:rsidR="00A57A93">
        <w:rPr>
          <w:rFonts w:cstheme="minorHAnsi"/>
        </w:rPr>
        <w:br/>
      </w:r>
    </w:p>
    <w:p w14:paraId="77E3DABB" w14:textId="6BBD63A6" w:rsidR="0086232E" w:rsidRPr="0086232E" w:rsidRDefault="0086232E" w:rsidP="0086232E">
      <w:pPr>
        <w:pStyle w:val="ListParagraph"/>
        <w:numPr>
          <w:ilvl w:val="1"/>
          <w:numId w:val="1"/>
        </w:numPr>
        <w:rPr>
          <w:rFonts w:cstheme="minorHAnsi"/>
        </w:rPr>
      </w:pPr>
      <w:r w:rsidRPr="0086232E">
        <w:rPr>
          <w:rFonts w:cstheme="minorHAnsi"/>
        </w:rPr>
        <w:t xml:space="preserve">A stable, ordered, accessible archive </w:t>
      </w:r>
      <w:r w:rsidR="00A57A93" w:rsidRPr="008C0206">
        <w:rPr>
          <w:rFonts w:cstheme="minorHAnsi"/>
          <w:b/>
          <w:bCs/>
          <w:i/>
          <w:iCs/>
          <w:color w:val="ED7D31" w:themeColor="accent2"/>
        </w:rPr>
        <w:t>must</w:t>
      </w:r>
      <w:r w:rsidRPr="008C0206">
        <w:rPr>
          <w:rFonts w:cstheme="minorHAnsi"/>
          <w:i/>
          <w:iCs/>
          <w:color w:val="ED7D31" w:themeColor="accent2"/>
        </w:rPr>
        <w:t xml:space="preserve"> </w:t>
      </w:r>
      <w:r w:rsidRPr="0086232E">
        <w:rPr>
          <w:rFonts w:cstheme="minorHAnsi"/>
        </w:rPr>
        <w:t>be prepared in accordance with the selection and deposition strategy, where applicable</w:t>
      </w:r>
      <w:r w:rsidR="004472C3">
        <w:rPr>
          <w:rFonts w:cstheme="minorHAnsi"/>
        </w:rPr>
        <w:t>,</w:t>
      </w:r>
      <w:r w:rsidRPr="0086232E">
        <w:rPr>
          <w:rFonts w:cstheme="minorHAnsi"/>
        </w:rPr>
        <w:t xml:space="preserve"> and the </w:t>
      </w:r>
      <w:r w:rsidRPr="00A57A93">
        <w:rPr>
          <w:rFonts w:cstheme="minorHAnsi"/>
          <w:i/>
          <w:iCs/>
        </w:rPr>
        <w:t>Standard for the creation, compilation, transfer and deposition of archaeological archives</w:t>
      </w:r>
      <w:r w:rsidR="00A57A93">
        <w:rPr>
          <w:rFonts w:cstheme="minorHAnsi"/>
        </w:rPr>
        <w:t xml:space="preserve"> </w:t>
      </w:r>
      <w:r w:rsidR="00A57A93" w:rsidRPr="00A57A93">
        <w:rPr>
          <w:rFonts w:cstheme="minorHAnsi"/>
        </w:rPr>
        <w:t>and the corresponding guidance</w:t>
      </w:r>
      <w:r w:rsidR="008C0206">
        <w:rPr>
          <w:rFonts w:cstheme="minorHAnsi"/>
          <w:color w:val="FF0000"/>
        </w:rPr>
        <w:t>.</w:t>
      </w:r>
    </w:p>
    <w:p w14:paraId="5EFFA47D" w14:textId="77777777" w:rsidR="00790540" w:rsidRPr="0086232E" w:rsidRDefault="00790540" w:rsidP="0086232E">
      <w:pPr>
        <w:ind w:left="360"/>
        <w:rPr>
          <w:rFonts w:cstheme="minorHAnsi"/>
        </w:rPr>
      </w:pPr>
    </w:p>
    <w:p w14:paraId="6203CC84" w14:textId="77777777" w:rsidR="00790540" w:rsidRPr="00790540" w:rsidRDefault="00790540" w:rsidP="00790540">
      <w:pPr>
        <w:widowControl w:val="0"/>
        <w:spacing w:after="0" w:line="240" w:lineRule="auto"/>
        <w:ind w:left="360"/>
        <w:rPr>
          <w:rFonts w:cstheme="minorHAnsi"/>
        </w:rPr>
      </w:pPr>
    </w:p>
    <w:p w14:paraId="3542E2C4" w14:textId="77777777" w:rsidR="00FF440B" w:rsidRDefault="00FF440B" w:rsidP="00FF440B">
      <w:pPr>
        <w:widowControl w:val="0"/>
        <w:spacing w:after="0" w:line="240" w:lineRule="auto"/>
        <w:rPr>
          <w:rFonts w:cstheme="minorHAnsi"/>
        </w:rPr>
      </w:pPr>
    </w:p>
    <w:p w14:paraId="52D55CC1" w14:textId="77777777" w:rsidR="00FF440B" w:rsidRDefault="00FF440B" w:rsidP="00FF440B">
      <w:pPr>
        <w:widowControl w:val="0"/>
        <w:spacing w:after="0" w:line="240" w:lineRule="auto"/>
        <w:rPr>
          <w:rFonts w:cstheme="minorHAnsi"/>
        </w:rPr>
      </w:pPr>
    </w:p>
    <w:p w14:paraId="6306D888" w14:textId="77777777" w:rsidR="00FF440B" w:rsidRDefault="00FF440B" w:rsidP="00FF440B">
      <w:pPr>
        <w:widowControl w:val="0"/>
        <w:spacing w:after="0" w:line="240" w:lineRule="auto"/>
        <w:rPr>
          <w:rFonts w:cstheme="minorHAnsi"/>
        </w:rPr>
      </w:pPr>
    </w:p>
    <w:p w14:paraId="5EECB994" w14:textId="77777777" w:rsidR="00FF440B" w:rsidRDefault="00FF440B" w:rsidP="00FF440B">
      <w:pPr>
        <w:widowControl w:val="0"/>
        <w:spacing w:after="0" w:line="240" w:lineRule="auto"/>
        <w:rPr>
          <w:rFonts w:cstheme="minorHAnsi"/>
        </w:rPr>
      </w:pPr>
    </w:p>
    <w:p w14:paraId="7E202F0E" w14:textId="77777777" w:rsidR="00FF440B" w:rsidRDefault="00FF440B" w:rsidP="00FF440B">
      <w:pPr>
        <w:widowControl w:val="0"/>
        <w:spacing w:after="0" w:line="240" w:lineRule="auto"/>
        <w:rPr>
          <w:rFonts w:cstheme="minorHAnsi"/>
        </w:rPr>
      </w:pPr>
    </w:p>
    <w:p w14:paraId="05D220C6" w14:textId="77777777" w:rsidR="00FF440B" w:rsidRDefault="00FF440B" w:rsidP="00FF440B">
      <w:pPr>
        <w:widowControl w:val="0"/>
        <w:spacing w:after="0" w:line="240" w:lineRule="auto"/>
        <w:rPr>
          <w:rFonts w:cstheme="minorHAnsi"/>
        </w:rPr>
      </w:pPr>
    </w:p>
    <w:p w14:paraId="5544C0D3" w14:textId="77777777" w:rsidR="00FF440B" w:rsidRDefault="00FF440B" w:rsidP="00FF440B">
      <w:pPr>
        <w:widowControl w:val="0"/>
        <w:spacing w:after="0" w:line="240" w:lineRule="auto"/>
        <w:rPr>
          <w:rFonts w:cstheme="minorHAnsi"/>
        </w:rPr>
      </w:pPr>
    </w:p>
    <w:p w14:paraId="0C1C458E" w14:textId="77777777" w:rsidR="00FF440B" w:rsidRDefault="00FF440B" w:rsidP="00FF440B">
      <w:pPr>
        <w:widowControl w:val="0"/>
        <w:spacing w:after="0" w:line="240" w:lineRule="auto"/>
        <w:rPr>
          <w:rFonts w:cstheme="minorHAnsi"/>
        </w:rPr>
      </w:pPr>
    </w:p>
    <w:bookmarkEnd w:id="0"/>
    <w:p w14:paraId="5A37BD98" w14:textId="27714D5B" w:rsidR="00717DF6" w:rsidRDefault="00717DF6" w:rsidP="007609A8"/>
    <w:sectPr w:rsidR="00717DF6" w:rsidSect="00B8421C">
      <w:headerReference w:type="even" r:id="rId10"/>
      <w:headerReference w:type="default" r:id="rId11"/>
      <w:headerReference w:type="first" r:id="rId12"/>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CC66" w14:textId="77777777" w:rsidR="005E3E27" w:rsidRDefault="005E3E27" w:rsidP="00392F8C">
      <w:pPr>
        <w:spacing w:after="0" w:line="240" w:lineRule="auto"/>
      </w:pPr>
      <w:r>
        <w:separator/>
      </w:r>
    </w:p>
  </w:endnote>
  <w:endnote w:type="continuationSeparator" w:id="0">
    <w:p w14:paraId="7B93478D" w14:textId="77777777" w:rsidR="005E3E27" w:rsidRDefault="005E3E27" w:rsidP="0039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2AAE" w14:textId="77777777" w:rsidR="005E3E27" w:rsidRDefault="005E3E27" w:rsidP="00392F8C">
      <w:pPr>
        <w:spacing w:after="0" w:line="240" w:lineRule="auto"/>
      </w:pPr>
      <w:r>
        <w:separator/>
      </w:r>
    </w:p>
  </w:footnote>
  <w:footnote w:type="continuationSeparator" w:id="0">
    <w:p w14:paraId="3376432A" w14:textId="77777777" w:rsidR="005E3E27" w:rsidRDefault="005E3E27" w:rsidP="00392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6D0E" w14:textId="1CB21D50" w:rsidR="001D5D20" w:rsidRDefault="00232B2F">
    <w:pPr>
      <w:pStyle w:val="Header"/>
    </w:pPr>
    <w:r>
      <w:rPr>
        <w:noProof/>
      </w:rPr>
      <w:pict w14:anchorId="5A8E3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1172" o:spid="_x0000_s1026" type="#_x0000_t136" style="position:absolute;margin-left:0;margin-top:0;width:397.65pt;height:238.6pt;rotation:315;z-index:-251655168;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338A" w14:textId="07B1E574" w:rsidR="00392F8C" w:rsidRPr="008C0872" w:rsidRDefault="00232B2F" w:rsidP="009A345D">
    <w:pPr>
      <w:pStyle w:val="Header"/>
      <w:ind w:left="720"/>
      <w:jc w:val="right"/>
      <w:rPr>
        <w:sz w:val="18"/>
        <w:szCs w:val="18"/>
      </w:rPr>
    </w:pPr>
    <w:r>
      <w:rPr>
        <w:noProof/>
      </w:rPr>
      <w:pict w14:anchorId="28157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1173" o:spid="_x0000_s1027" type="#_x0000_t136" style="position:absolute;left:0;text-align:left;margin-left:0;margin-top:0;width:397.65pt;height:238.6pt;rotation:315;z-index:-251653120;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r w:rsidR="008C0872">
      <w:tab/>
    </w:r>
    <w:r w:rsidR="00B8421C">
      <w:t xml:space="preserve">  </w:t>
    </w:r>
    <w:r w:rsidR="00392F8C" w:rsidRPr="008C0872">
      <w:rPr>
        <w:sz w:val="18"/>
        <w:szCs w:val="18"/>
      </w:rPr>
      <w:t xml:space="preserve">Universal guidance for archaeological </w:t>
    </w:r>
    <w:r w:rsidR="008F3294">
      <w:rPr>
        <w:sz w:val="18"/>
        <w:szCs w:val="18"/>
      </w:rPr>
      <w:t>watching brief</w:t>
    </w:r>
    <w:r w:rsidR="00392F8C" w:rsidRPr="008C0872">
      <w:rPr>
        <w:sz w:val="18"/>
        <w:szCs w:val="18"/>
      </w:rPr>
      <w:t xml:space="preserve"> – consultation draft</w:t>
    </w:r>
    <w:r w:rsidR="009D700F">
      <w:rPr>
        <w:sz w:val="18"/>
        <w:szCs w:val="18"/>
      </w:rPr>
      <w:t xml:space="preserve"> (</w:t>
    </w:r>
    <w:r w:rsidR="0097358B">
      <w:rPr>
        <w:sz w:val="18"/>
        <w:szCs w:val="18"/>
      </w:rPr>
      <w:t>Feb</w:t>
    </w:r>
    <w:r w:rsidR="009D700F">
      <w:rPr>
        <w:sz w:val="18"/>
        <w:szCs w:val="18"/>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182F" w14:textId="2E696D33" w:rsidR="001D5D20" w:rsidRDefault="00232B2F">
    <w:pPr>
      <w:pStyle w:val="Header"/>
    </w:pPr>
    <w:r>
      <w:rPr>
        <w:noProof/>
      </w:rPr>
      <w:pict w14:anchorId="47C6BD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1171" o:spid="_x0000_s1025" type="#_x0000_t136" style="position:absolute;margin-left:0;margin-top:0;width:397.65pt;height:238.6pt;rotation:315;z-index:-251657216;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5F4"/>
    <w:multiLevelType w:val="hybridMultilevel"/>
    <w:tmpl w:val="88BAC072"/>
    <w:lvl w:ilvl="0" w:tplc="17CA27CC">
      <w:start w:val="5"/>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81D7CEB"/>
    <w:multiLevelType w:val="hybridMultilevel"/>
    <w:tmpl w:val="299E01E0"/>
    <w:lvl w:ilvl="0" w:tplc="1C66CB72">
      <w:start w:val="1"/>
      <w:numFmt w:val="lowerLetter"/>
      <w:lvlText w:val="%1."/>
      <w:lvlJc w:val="left"/>
      <w:pPr>
        <w:ind w:left="1154"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7593A"/>
    <w:multiLevelType w:val="multilevel"/>
    <w:tmpl w:val="46580386"/>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160CA0"/>
    <w:multiLevelType w:val="multilevel"/>
    <w:tmpl w:val="8A38F370"/>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87C7916"/>
    <w:multiLevelType w:val="multilevel"/>
    <w:tmpl w:val="E55EF69E"/>
    <w:lvl w:ilvl="0">
      <w:start w:val="1"/>
      <w:numFmt w:val="decimal"/>
      <w:lvlText w:val="%1"/>
      <w:lvlJc w:val="left"/>
      <w:pPr>
        <w:ind w:left="574" w:hanging="432"/>
      </w:pPr>
      <w:rPr>
        <w:rFonts w:hint="default"/>
      </w:rPr>
    </w:lvl>
    <w:lvl w:ilvl="1">
      <w:start w:val="2"/>
      <w:numFmt w:val="decimal"/>
      <w:lvlText w:val="%1.%2"/>
      <w:lvlJc w:val="left"/>
      <w:pPr>
        <w:ind w:left="576" w:hanging="576"/>
      </w:pPr>
      <w:rPr>
        <w:rFonts w:hint="default"/>
        <w:color w:val="auto"/>
      </w:rPr>
    </w:lvl>
    <w:lvl w:ilvl="2">
      <w:start w:val="1"/>
      <w:numFmt w:val="decimal"/>
      <w:lvlText w:val="%1.%2.%3"/>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9797D8D"/>
    <w:multiLevelType w:val="hybridMultilevel"/>
    <w:tmpl w:val="A38CCCE8"/>
    <w:lvl w:ilvl="0" w:tplc="F66E7402">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C214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F1079D"/>
    <w:multiLevelType w:val="hybridMultilevel"/>
    <w:tmpl w:val="89527D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B51E5"/>
    <w:multiLevelType w:val="hybridMultilevel"/>
    <w:tmpl w:val="956A9566"/>
    <w:lvl w:ilvl="0" w:tplc="08090019">
      <w:start w:val="1"/>
      <w:numFmt w:val="lowerLetter"/>
      <w:lvlText w:val="%1."/>
      <w:lvlJc w:val="left"/>
      <w:pPr>
        <w:ind w:left="1154" w:hanging="360"/>
      </w:p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C474F12"/>
    <w:multiLevelType w:val="hybridMultilevel"/>
    <w:tmpl w:val="5E0A42AA"/>
    <w:lvl w:ilvl="0" w:tplc="87AAE5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7D599E"/>
    <w:multiLevelType w:val="hybridMultilevel"/>
    <w:tmpl w:val="7550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A5907"/>
    <w:multiLevelType w:val="multilevel"/>
    <w:tmpl w:val="369C8276"/>
    <w:lvl w:ilvl="0">
      <w:start w:val="5"/>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2160" w:hanging="2160"/>
      </w:pPr>
      <w:rPr>
        <w:rFonts w:cstheme="minorBidi" w:hint="default"/>
        <w:sz w:val="22"/>
      </w:rPr>
    </w:lvl>
  </w:abstractNum>
  <w:abstractNum w:abstractNumId="12" w15:restartNumberingAfterBreak="0">
    <w:nsid w:val="3F8334E5"/>
    <w:multiLevelType w:val="hybridMultilevel"/>
    <w:tmpl w:val="77CE8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342B6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79A1077"/>
    <w:multiLevelType w:val="hybridMultilevel"/>
    <w:tmpl w:val="88BAC072"/>
    <w:lvl w:ilvl="0" w:tplc="FFFFFFFF">
      <w:start w:val="5"/>
      <w:numFmt w:val="decimal"/>
      <w:lvlText w:val="%1."/>
      <w:lvlJc w:val="left"/>
      <w:pPr>
        <w:ind w:left="360" w:hanging="360"/>
      </w:pPr>
      <w:rPr>
        <w:rFonts w:hint="default"/>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5" w15:restartNumberingAfterBreak="0">
    <w:nsid w:val="4B9C74FD"/>
    <w:multiLevelType w:val="hybridMultilevel"/>
    <w:tmpl w:val="9B3CC75C"/>
    <w:lvl w:ilvl="0" w:tplc="FFFFFFFF">
      <w:start w:val="1"/>
      <w:numFmt w:val="lowerLetter"/>
      <w:lvlText w:val="%1."/>
      <w:lvlJc w:val="left"/>
      <w:pPr>
        <w:ind w:left="360" w:hanging="360"/>
      </w:pPr>
      <w:rPr>
        <w:b w:val="0"/>
        <w:bCs w:val="0"/>
      </w:rPr>
    </w:lvl>
    <w:lvl w:ilvl="1" w:tplc="08090019" w:tentative="1">
      <w:start w:val="1"/>
      <w:numFmt w:val="lowerLetter"/>
      <w:lvlText w:val="%2."/>
      <w:lvlJc w:val="left"/>
      <w:pPr>
        <w:ind w:left="646" w:hanging="360"/>
      </w:pPr>
    </w:lvl>
    <w:lvl w:ilvl="2" w:tplc="0809001B" w:tentative="1">
      <w:start w:val="1"/>
      <w:numFmt w:val="lowerRoman"/>
      <w:lvlText w:val="%3."/>
      <w:lvlJc w:val="right"/>
      <w:pPr>
        <w:ind w:left="1366" w:hanging="180"/>
      </w:pPr>
    </w:lvl>
    <w:lvl w:ilvl="3" w:tplc="0809000F" w:tentative="1">
      <w:start w:val="1"/>
      <w:numFmt w:val="decimal"/>
      <w:lvlText w:val="%4."/>
      <w:lvlJc w:val="left"/>
      <w:pPr>
        <w:ind w:left="2086" w:hanging="360"/>
      </w:pPr>
    </w:lvl>
    <w:lvl w:ilvl="4" w:tplc="08090019" w:tentative="1">
      <w:start w:val="1"/>
      <w:numFmt w:val="lowerLetter"/>
      <w:lvlText w:val="%5."/>
      <w:lvlJc w:val="left"/>
      <w:pPr>
        <w:ind w:left="2806" w:hanging="360"/>
      </w:pPr>
    </w:lvl>
    <w:lvl w:ilvl="5" w:tplc="0809001B" w:tentative="1">
      <w:start w:val="1"/>
      <w:numFmt w:val="lowerRoman"/>
      <w:lvlText w:val="%6."/>
      <w:lvlJc w:val="right"/>
      <w:pPr>
        <w:ind w:left="3526" w:hanging="180"/>
      </w:pPr>
    </w:lvl>
    <w:lvl w:ilvl="6" w:tplc="0809000F" w:tentative="1">
      <w:start w:val="1"/>
      <w:numFmt w:val="decimal"/>
      <w:lvlText w:val="%7."/>
      <w:lvlJc w:val="left"/>
      <w:pPr>
        <w:ind w:left="4246" w:hanging="360"/>
      </w:pPr>
    </w:lvl>
    <w:lvl w:ilvl="7" w:tplc="08090019" w:tentative="1">
      <w:start w:val="1"/>
      <w:numFmt w:val="lowerLetter"/>
      <w:lvlText w:val="%8."/>
      <w:lvlJc w:val="left"/>
      <w:pPr>
        <w:ind w:left="4966" w:hanging="360"/>
      </w:pPr>
    </w:lvl>
    <w:lvl w:ilvl="8" w:tplc="0809001B" w:tentative="1">
      <w:start w:val="1"/>
      <w:numFmt w:val="lowerRoman"/>
      <w:lvlText w:val="%9."/>
      <w:lvlJc w:val="right"/>
      <w:pPr>
        <w:ind w:left="5686" w:hanging="180"/>
      </w:pPr>
    </w:lvl>
  </w:abstractNum>
  <w:abstractNum w:abstractNumId="16" w15:restartNumberingAfterBreak="0">
    <w:nsid w:val="4CBD32B4"/>
    <w:multiLevelType w:val="hybridMultilevel"/>
    <w:tmpl w:val="01E2B3CC"/>
    <w:lvl w:ilvl="0" w:tplc="20CCACBE">
      <w:start w:val="1"/>
      <w:numFmt w:val="lowerLetter"/>
      <w:lvlText w:val="%1)"/>
      <w:lvlJc w:val="left"/>
      <w:pPr>
        <w:ind w:left="1080" w:hanging="360"/>
      </w:pPr>
      <w:rPr>
        <w:b w:val="0"/>
        <w:bCs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CD07E25"/>
    <w:multiLevelType w:val="multilevel"/>
    <w:tmpl w:val="5F94250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AC47DF"/>
    <w:multiLevelType w:val="hybridMultilevel"/>
    <w:tmpl w:val="F9B2E650"/>
    <w:lvl w:ilvl="0" w:tplc="1C66CB72">
      <w:start w:val="1"/>
      <w:numFmt w:val="lowerLetter"/>
      <w:lvlText w:val="%1."/>
      <w:lvlJc w:val="left"/>
      <w:pPr>
        <w:ind w:left="1154" w:hanging="360"/>
      </w:pPr>
      <w:rPr>
        <w:b w:val="0"/>
        <w:bCs w:val="0"/>
      </w:rPr>
    </w:lvl>
    <w:lvl w:ilvl="1" w:tplc="08090019">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541D3366"/>
    <w:multiLevelType w:val="hybridMultilevel"/>
    <w:tmpl w:val="0B200640"/>
    <w:lvl w:ilvl="0" w:tplc="08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6541FE7"/>
    <w:multiLevelType w:val="hybridMultilevel"/>
    <w:tmpl w:val="50403FF0"/>
    <w:lvl w:ilvl="0" w:tplc="E452BA5E">
      <w:start w:val="5"/>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590A1CC1"/>
    <w:multiLevelType w:val="hybridMultilevel"/>
    <w:tmpl w:val="77CE8B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8814EA"/>
    <w:multiLevelType w:val="multilevel"/>
    <w:tmpl w:val="46580386"/>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4140536"/>
    <w:multiLevelType w:val="hybridMultilevel"/>
    <w:tmpl w:val="F9B2E650"/>
    <w:lvl w:ilvl="0" w:tplc="FFFFFFFF">
      <w:start w:val="1"/>
      <w:numFmt w:val="lowerLetter"/>
      <w:lvlText w:val="%1."/>
      <w:lvlJc w:val="left"/>
      <w:pPr>
        <w:ind w:left="1154" w:hanging="360"/>
      </w:pPr>
      <w:rPr>
        <w:b w:val="0"/>
        <w:bCs w:val="0"/>
      </w:rPr>
    </w:lvl>
    <w:lvl w:ilvl="1" w:tplc="FFFFFFFF">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24" w15:restartNumberingAfterBreak="0">
    <w:nsid w:val="7B565EEE"/>
    <w:multiLevelType w:val="hybridMultilevel"/>
    <w:tmpl w:val="3244A120"/>
    <w:lvl w:ilvl="0" w:tplc="08090019">
      <w:start w:val="1"/>
      <w:numFmt w:val="lowerLetter"/>
      <w:lvlText w:val="%1."/>
      <w:lvlJc w:val="left"/>
      <w:pPr>
        <w:ind w:left="1154" w:hanging="360"/>
      </w:pPr>
    </w:lvl>
    <w:lvl w:ilvl="1" w:tplc="08090019" w:tentative="1">
      <w:start w:val="1"/>
      <w:numFmt w:val="lowerLetter"/>
      <w:lvlText w:val="%2."/>
      <w:lvlJc w:val="left"/>
      <w:pPr>
        <w:ind w:left="1874" w:hanging="360"/>
      </w:pPr>
    </w:lvl>
    <w:lvl w:ilvl="2" w:tplc="0809001B">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5" w15:restartNumberingAfterBreak="0">
    <w:nsid w:val="7E5B3760"/>
    <w:multiLevelType w:val="hybridMultilevel"/>
    <w:tmpl w:val="EF60E1D2"/>
    <w:lvl w:ilvl="0" w:tplc="FFFFFFFF">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0206443">
    <w:abstractNumId w:val="2"/>
  </w:num>
  <w:num w:numId="2" w16cid:durableId="1321541904">
    <w:abstractNumId w:val="6"/>
  </w:num>
  <w:num w:numId="3" w16cid:durableId="1751344114">
    <w:abstractNumId w:val="13"/>
  </w:num>
  <w:num w:numId="4" w16cid:durableId="91365298">
    <w:abstractNumId w:val="4"/>
  </w:num>
  <w:num w:numId="5" w16cid:durableId="440154207">
    <w:abstractNumId w:val="7"/>
  </w:num>
  <w:num w:numId="6" w16cid:durableId="27224669">
    <w:abstractNumId w:val="10"/>
  </w:num>
  <w:num w:numId="7" w16cid:durableId="358094918">
    <w:abstractNumId w:val="22"/>
  </w:num>
  <w:num w:numId="8" w16cid:durableId="472063327">
    <w:abstractNumId w:val="18"/>
  </w:num>
  <w:num w:numId="9" w16cid:durableId="1988780798">
    <w:abstractNumId w:val="8"/>
  </w:num>
  <w:num w:numId="10" w16cid:durableId="123935424">
    <w:abstractNumId w:val="24"/>
  </w:num>
  <w:num w:numId="11" w16cid:durableId="12221483">
    <w:abstractNumId w:val="3"/>
  </w:num>
  <w:num w:numId="12" w16cid:durableId="1550534496">
    <w:abstractNumId w:val="9"/>
  </w:num>
  <w:num w:numId="13" w16cid:durableId="1691057288">
    <w:abstractNumId w:val="19"/>
  </w:num>
  <w:num w:numId="14" w16cid:durableId="470292377">
    <w:abstractNumId w:val="1"/>
  </w:num>
  <w:num w:numId="15" w16cid:durableId="683744462">
    <w:abstractNumId w:val="23"/>
  </w:num>
  <w:num w:numId="16" w16cid:durableId="1662805781">
    <w:abstractNumId w:val="15"/>
  </w:num>
  <w:num w:numId="17" w16cid:durableId="828639944">
    <w:abstractNumId w:val="20"/>
  </w:num>
  <w:num w:numId="18" w16cid:durableId="2105571894">
    <w:abstractNumId w:val="12"/>
  </w:num>
  <w:num w:numId="19" w16cid:durableId="1359233669">
    <w:abstractNumId w:val="21"/>
  </w:num>
  <w:num w:numId="20" w16cid:durableId="7294100">
    <w:abstractNumId w:val="0"/>
  </w:num>
  <w:num w:numId="21" w16cid:durableId="111216463">
    <w:abstractNumId w:val="5"/>
  </w:num>
  <w:num w:numId="22" w16cid:durableId="880821884">
    <w:abstractNumId w:val="11"/>
  </w:num>
  <w:num w:numId="23" w16cid:durableId="1770808417">
    <w:abstractNumId w:val="14"/>
  </w:num>
  <w:num w:numId="24" w16cid:durableId="237519445">
    <w:abstractNumId w:val="25"/>
  </w:num>
  <w:num w:numId="25" w16cid:durableId="194656761">
    <w:abstractNumId w:val="17"/>
  </w:num>
  <w:num w:numId="26" w16cid:durableId="535067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A8"/>
    <w:rsid w:val="00007EE1"/>
    <w:rsid w:val="00021504"/>
    <w:rsid w:val="0005608E"/>
    <w:rsid w:val="000973CD"/>
    <w:rsid w:val="000A0736"/>
    <w:rsid w:val="000B18DD"/>
    <w:rsid w:val="000C225E"/>
    <w:rsid w:val="000D220D"/>
    <w:rsid w:val="001051C7"/>
    <w:rsid w:val="00115B11"/>
    <w:rsid w:val="0012596E"/>
    <w:rsid w:val="00131367"/>
    <w:rsid w:val="00133D5B"/>
    <w:rsid w:val="00145E98"/>
    <w:rsid w:val="001468AA"/>
    <w:rsid w:val="001A66AA"/>
    <w:rsid w:val="001B4571"/>
    <w:rsid w:val="001B6188"/>
    <w:rsid w:val="001D5D20"/>
    <w:rsid w:val="0020547F"/>
    <w:rsid w:val="002220FB"/>
    <w:rsid w:val="00224635"/>
    <w:rsid w:val="00232430"/>
    <w:rsid w:val="00232B2F"/>
    <w:rsid w:val="002366A5"/>
    <w:rsid w:val="00256407"/>
    <w:rsid w:val="00277FA2"/>
    <w:rsid w:val="00286759"/>
    <w:rsid w:val="0029151E"/>
    <w:rsid w:val="002A348C"/>
    <w:rsid w:val="002F0887"/>
    <w:rsid w:val="00315106"/>
    <w:rsid w:val="00331ED4"/>
    <w:rsid w:val="00346D82"/>
    <w:rsid w:val="00361B81"/>
    <w:rsid w:val="00380778"/>
    <w:rsid w:val="00392ED0"/>
    <w:rsid w:val="00392F8C"/>
    <w:rsid w:val="003A0213"/>
    <w:rsid w:val="003C2035"/>
    <w:rsid w:val="003C418E"/>
    <w:rsid w:val="0040324B"/>
    <w:rsid w:val="004223CC"/>
    <w:rsid w:val="004261D2"/>
    <w:rsid w:val="00426B59"/>
    <w:rsid w:val="00436571"/>
    <w:rsid w:val="004472C3"/>
    <w:rsid w:val="00460CF9"/>
    <w:rsid w:val="00473051"/>
    <w:rsid w:val="004B31C5"/>
    <w:rsid w:val="004C3E4E"/>
    <w:rsid w:val="004C4B05"/>
    <w:rsid w:val="004E5CD1"/>
    <w:rsid w:val="004F149B"/>
    <w:rsid w:val="00504DD3"/>
    <w:rsid w:val="005070B3"/>
    <w:rsid w:val="005222C8"/>
    <w:rsid w:val="00541B7F"/>
    <w:rsid w:val="0055246A"/>
    <w:rsid w:val="00563B09"/>
    <w:rsid w:val="0057366B"/>
    <w:rsid w:val="0057628B"/>
    <w:rsid w:val="00582412"/>
    <w:rsid w:val="0059346C"/>
    <w:rsid w:val="00595DAE"/>
    <w:rsid w:val="005D442D"/>
    <w:rsid w:val="005E3E27"/>
    <w:rsid w:val="00611912"/>
    <w:rsid w:val="00632213"/>
    <w:rsid w:val="00635B91"/>
    <w:rsid w:val="00642D58"/>
    <w:rsid w:val="006822C6"/>
    <w:rsid w:val="006E012D"/>
    <w:rsid w:val="006E16ED"/>
    <w:rsid w:val="00717DF6"/>
    <w:rsid w:val="00744061"/>
    <w:rsid w:val="007609A8"/>
    <w:rsid w:val="00790540"/>
    <w:rsid w:val="007B1261"/>
    <w:rsid w:val="007D6546"/>
    <w:rsid w:val="00803FF9"/>
    <w:rsid w:val="008260BA"/>
    <w:rsid w:val="0084594B"/>
    <w:rsid w:val="00855DF6"/>
    <w:rsid w:val="0086232E"/>
    <w:rsid w:val="00884C4A"/>
    <w:rsid w:val="008863D0"/>
    <w:rsid w:val="008C0206"/>
    <w:rsid w:val="008C0872"/>
    <w:rsid w:val="008F16A2"/>
    <w:rsid w:val="008F1E07"/>
    <w:rsid w:val="008F3294"/>
    <w:rsid w:val="008F4E6F"/>
    <w:rsid w:val="008F5D7B"/>
    <w:rsid w:val="00911F02"/>
    <w:rsid w:val="00963A0F"/>
    <w:rsid w:val="0097358B"/>
    <w:rsid w:val="009A345D"/>
    <w:rsid w:val="009C342D"/>
    <w:rsid w:val="009C4642"/>
    <w:rsid w:val="009C57A1"/>
    <w:rsid w:val="009D195D"/>
    <w:rsid w:val="009D700F"/>
    <w:rsid w:val="00A01FF2"/>
    <w:rsid w:val="00A14A57"/>
    <w:rsid w:val="00A177F4"/>
    <w:rsid w:val="00A35B16"/>
    <w:rsid w:val="00A57A93"/>
    <w:rsid w:val="00A81669"/>
    <w:rsid w:val="00AA75A1"/>
    <w:rsid w:val="00AB173E"/>
    <w:rsid w:val="00AE7FE9"/>
    <w:rsid w:val="00AF183E"/>
    <w:rsid w:val="00AF7769"/>
    <w:rsid w:val="00B10E6D"/>
    <w:rsid w:val="00B160B7"/>
    <w:rsid w:val="00B45F94"/>
    <w:rsid w:val="00B8421C"/>
    <w:rsid w:val="00BB40E6"/>
    <w:rsid w:val="00BE4A8D"/>
    <w:rsid w:val="00BF1FF1"/>
    <w:rsid w:val="00C02DE7"/>
    <w:rsid w:val="00C206EA"/>
    <w:rsid w:val="00C20953"/>
    <w:rsid w:val="00C53F4B"/>
    <w:rsid w:val="00C938A7"/>
    <w:rsid w:val="00CA1241"/>
    <w:rsid w:val="00CA1F3E"/>
    <w:rsid w:val="00CA794C"/>
    <w:rsid w:val="00CB0207"/>
    <w:rsid w:val="00CC2A30"/>
    <w:rsid w:val="00CC6F1E"/>
    <w:rsid w:val="00CE1626"/>
    <w:rsid w:val="00D436C1"/>
    <w:rsid w:val="00D90589"/>
    <w:rsid w:val="00DA1A5D"/>
    <w:rsid w:val="00DB0D2A"/>
    <w:rsid w:val="00E244A1"/>
    <w:rsid w:val="00E3127D"/>
    <w:rsid w:val="00E46206"/>
    <w:rsid w:val="00E50E6F"/>
    <w:rsid w:val="00E539E3"/>
    <w:rsid w:val="00ED4A5B"/>
    <w:rsid w:val="00ED6A45"/>
    <w:rsid w:val="00EF30F3"/>
    <w:rsid w:val="00EF711F"/>
    <w:rsid w:val="00F06364"/>
    <w:rsid w:val="00F274AF"/>
    <w:rsid w:val="00F3773B"/>
    <w:rsid w:val="00F60A3F"/>
    <w:rsid w:val="00F80694"/>
    <w:rsid w:val="00FA01E0"/>
    <w:rsid w:val="00FA0AD8"/>
    <w:rsid w:val="00FB0C30"/>
    <w:rsid w:val="00FE1DD8"/>
    <w:rsid w:val="00FE50C2"/>
    <w:rsid w:val="00FF4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D2BC6"/>
  <w15:chartTrackingRefBased/>
  <w15:docId w15:val="{A19C090B-769F-4E7D-A5D0-9072AC21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B4571"/>
    <w:pPr>
      <w:keepNext/>
      <w:keepLines/>
      <w:numPr>
        <w:numId w:val="3"/>
      </w:numPr>
      <w:spacing w:before="480" w:after="0" w:line="240" w:lineRule="auto"/>
      <w:outlineLvl w:val="0"/>
    </w:pPr>
    <w:rPr>
      <w:rFonts w:asciiTheme="majorHAnsi" w:eastAsiaTheme="majorEastAsia" w:hAnsiTheme="majorHAnsi" w:cstheme="majorBidi"/>
      <w:b/>
      <w:bCs/>
      <w:sz w:val="26"/>
      <w:szCs w:val="28"/>
      <w:lang w:val="en-US"/>
    </w:rPr>
  </w:style>
  <w:style w:type="paragraph" w:styleId="Heading2">
    <w:name w:val="heading 2"/>
    <w:basedOn w:val="Normal"/>
    <w:next w:val="Normal"/>
    <w:link w:val="Heading2Char"/>
    <w:uiPriority w:val="9"/>
    <w:unhideWhenUsed/>
    <w:qFormat/>
    <w:rsid w:val="001B4571"/>
    <w:pPr>
      <w:keepNext/>
      <w:keepLines/>
      <w:numPr>
        <w:ilvl w:val="1"/>
        <w:numId w:val="3"/>
      </w:numPr>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unhideWhenUsed/>
    <w:qFormat/>
    <w:rsid w:val="001B4571"/>
    <w:pPr>
      <w:keepNext/>
      <w:keepLines/>
      <w:numPr>
        <w:ilvl w:val="2"/>
        <w:numId w:val="3"/>
      </w:numPr>
      <w:spacing w:before="200" w:after="0" w:line="240" w:lineRule="auto"/>
      <w:outlineLvl w:val="2"/>
    </w:pPr>
    <w:rPr>
      <w:rFonts w:asciiTheme="majorHAnsi" w:eastAsiaTheme="majorEastAsia" w:hAnsiTheme="majorHAnsi" w:cstheme="majorBidi"/>
      <w:b/>
      <w:bCs/>
      <w:color w:val="4472C4" w:themeColor="accent1"/>
      <w:sz w:val="24"/>
      <w:szCs w:val="24"/>
      <w:lang w:val="en-US"/>
    </w:rPr>
  </w:style>
  <w:style w:type="paragraph" w:styleId="Heading4">
    <w:name w:val="heading 4"/>
    <w:basedOn w:val="Normal"/>
    <w:next w:val="Normal"/>
    <w:link w:val="Heading4Char"/>
    <w:uiPriority w:val="9"/>
    <w:unhideWhenUsed/>
    <w:qFormat/>
    <w:rsid w:val="001B4571"/>
    <w:pPr>
      <w:keepNext/>
      <w:keepLines/>
      <w:numPr>
        <w:ilvl w:val="3"/>
        <w:numId w:val="3"/>
      </w:numPr>
      <w:spacing w:before="200" w:after="0" w:line="240" w:lineRule="auto"/>
      <w:outlineLvl w:val="3"/>
    </w:pPr>
    <w:rPr>
      <w:rFonts w:asciiTheme="majorHAnsi" w:eastAsiaTheme="majorEastAsia" w:hAnsiTheme="majorHAnsi" w:cstheme="majorBidi"/>
      <w:b/>
      <w:bCs/>
      <w:i/>
      <w:iCs/>
      <w:color w:val="4472C4" w:themeColor="accent1"/>
      <w:sz w:val="24"/>
      <w:szCs w:val="24"/>
      <w:lang w:val="en-US"/>
    </w:rPr>
  </w:style>
  <w:style w:type="paragraph" w:styleId="Heading5">
    <w:name w:val="heading 5"/>
    <w:basedOn w:val="Normal"/>
    <w:next w:val="Normal"/>
    <w:link w:val="Heading5Char"/>
    <w:uiPriority w:val="9"/>
    <w:unhideWhenUsed/>
    <w:qFormat/>
    <w:rsid w:val="001B4571"/>
    <w:pPr>
      <w:keepNext/>
      <w:keepLines/>
      <w:numPr>
        <w:ilvl w:val="4"/>
        <w:numId w:val="3"/>
      </w:numPr>
      <w:spacing w:before="200" w:after="0" w:line="240" w:lineRule="auto"/>
      <w:outlineLvl w:val="4"/>
    </w:pPr>
    <w:rPr>
      <w:rFonts w:asciiTheme="majorHAnsi" w:eastAsiaTheme="majorEastAsia" w:hAnsiTheme="majorHAnsi" w:cstheme="majorBidi"/>
      <w:color w:val="1F3763" w:themeColor="accent1" w:themeShade="7F"/>
      <w:sz w:val="24"/>
      <w:szCs w:val="24"/>
      <w:lang w:val="en-US"/>
    </w:rPr>
  </w:style>
  <w:style w:type="paragraph" w:styleId="Heading6">
    <w:name w:val="heading 6"/>
    <w:basedOn w:val="Normal"/>
    <w:next w:val="Normal"/>
    <w:link w:val="Heading6Char"/>
    <w:uiPriority w:val="9"/>
    <w:unhideWhenUsed/>
    <w:qFormat/>
    <w:rsid w:val="001B4571"/>
    <w:pPr>
      <w:keepNext/>
      <w:keepLines/>
      <w:numPr>
        <w:ilvl w:val="5"/>
        <w:numId w:val="3"/>
      </w:numPr>
      <w:spacing w:before="200" w:after="0" w:line="240" w:lineRule="auto"/>
      <w:outlineLvl w:val="5"/>
    </w:pPr>
    <w:rPr>
      <w:rFonts w:asciiTheme="majorHAnsi" w:eastAsiaTheme="majorEastAsia" w:hAnsiTheme="majorHAnsi" w:cstheme="majorBidi"/>
      <w:i/>
      <w:iCs/>
      <w:color w:val="1F3763" w:themeColor="accent1" w:themeShade="7F"/>
      <w:sz w:val="24"/>
      <w:szCs w:val="24"/>
      <w:lang w:val="en-US"/>
    </w:rPr>
  </w:style>
  <w:style w:type="paragraph" w:styleId="Heading7">
    <w:name w:val="heading 7"/>
    <w:basedOn w:val="Normal"/>
    <w:next w:val="Normal"/>
    <w:link w:val="Heading7Char"/>
    <w:uiPriority w:val="9"/>
    <w:semiHidden/>
    <w:unhideWhenUsed/>
    <w:qFormat/>
    <w:rsid w:val="001B4571"/>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1B4571"/>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1B4571"/>
    <w:pPr>
      <w:keepNext/>
      <w:keepLines/>
      <w:numPr>
        <w:ilvl w:val="8"/>
        <w:numId w:val="3"/>
      </w:numPr>
      <w:spacing w:before="200" w:after="0" w:line="240" w:lineRule="auto"/>
      <w:ind w:left="6480" w:hanging="18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9A8"/>
    <w:pPr>
      <w:ind w:left="720"/>
      <w:contextualSpacing/>
    </w:pPr>
  </w:style>
  <w:style w:type="character" w:customStyle="1" w:styleId="Heading1Char">
    <w:name w:val="Heading 1 Char"/>
    <w:basedOn w:val="DefaultParagraphFont"/>
    <w:link w:val="Heading1"/>
    <w:uiPriority w:val="9"/>
    <w:rsid w:val="001B4571"/>
    <w:rPr>
      <w:rFonts w:asciiTheme="majorHAnsi" w:eastAsiaTheme="majorEastAsia" w:hAnsiTheme="majorHAnsi" w:cstheme="majorBidi"/>
      <w:b/>
      <w:bCs/>
      <w:sz w:val="26"/>
      <w:szCs w:val="28"/>
      <w:lang w:val="en-US"/>
    </w:rPr>
  </w:style>
  <w:style w:type="character" w:customStyle="1" w:styleId="Heading2Char">
    <w:name w:val="Heading 2 Char"/>
    <w:basedOn w:val="DefaultParagraphFont"/>
    <w:link w:val="Heading2"/>
    <w:uiPriority w:val="9"/>
    <w:rsid w:val="001B4571"/>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1B4571"/>
    <w:rPr>
      <w:rFonts w:asciiTheme="majorHAnsi" w:eastAsiaTheme="majorEastAsia" w:hAnsiTheme="majorHAnsi" w:cstheme="majorBidi"/>
      <w:b/>
      <w:bCs/>
      <w:color w:val="4472C4" w:themeColor="accent1"/>
      <w:sz w:val="24"/>
      <w:szCs w:val="24"/>
      <w:lang w:val="en-US"/>
    </w:rPr>
  </w:style>
  <w:style w:type="character" w:customStyle="1" w:styleId="Heading4Char">
    <w:name w:val="Heading 4 Char"/>
    <w:basedOn w:val="DefaultParagraphFont"/>
    <w:link w:val="Heading4"/>
    <w:uiPriority w:val="9"/>
    <w:rsid w:val="001B4571"/>
    <w:rPr>
      <w:rFonts w:asciiTheme="majorHAnsi" w:eastAsiaTheme="majorEastAsia" w:hAnsiTheme="majorHAnsi" w:cstheme="majorBidi"/>
      <w:b/>
      <w:bCs/>
      <w:i/>
      <w:iCs/>
      <w:color w:val="4472C4" w:themeColor="accent1"/>
      <w:sz w:val="24"/>
      <w:szCs w:val="24"/>
      <w:lang w:val="en-US"/>
    </w:rPr>
  </w:style>
  <w:style w:type="character" w:customStyle="1" w:styleId="Heading5Char">
    <w:name w:val="Heading 5 Char"/>
    <w:basedOn w:val="DefaultParagraphFont"/>
    <w:link w:val="Heading5"/>
    <w:uiPriority w:val="9"/>
    <w:rsid w:val="001B4571"/>
    <w:rPr>
      <w:rFonts w:asciiTheme="majorHAnsi" w:eastAsiaTheme="majorEastAsia" w:hAnsiTheme="majorHAnsi" w:cstheme="majorBidi"/>
      <w:color w:val="1F3763" w:themeColor="accent1" w:themeShade="7F"/>
      <w:sz w:val="24"/>
      <w:szCs w:val="24"/>
      <w:lang w:val="en-US"/>
    </w:rPr>
  </w:style>
  <w:style w:type="character" w:customStyle="1" w:styleId="Heading6Char">
    <w:name w:val="Heading 6 Char"/>
    <w:basedOn w:val="DefaultParagraphFont"/>
    <w:link w:val="Heading6"/>
    <w:uiPriority w:val="9"/>
    <w:rsid w:val="001B4571"/>
    <w:rPr>
      <w:rFonts w:asciiTheme="majorHAnsi" w:eastAsiaTheme="majorEastAsia" w:hAnsiTheme="majorHAnsi" w:cstheme="majorBidi"/>
      <w:i/>
      <w:iCs/>
      <w:color w:val="1F3763" w:themeColor="accent1" w:themeShade="7F"/>
      <w:sz w:val="24"/>
      <w:szCs w:val="24"/>
      <w:lang w:val="en-US"/>
    </w:rPr>
  </w:style>
  <w:style w:type="character" w:customStyle="1" w:styleId="Heading7Char">
    <w:name w:val="Heading 7 Char"/>
    <w:basedOn w:val="DefaultParagraphFont"/>
    <w:link w:val="Heading7"/>
    <w:uiPriority w:val="9"/>
    <w:semiHidden/>
    <w:rsid w:val="001B457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1B457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1B4571"/>
    <w:rPr>
      <w:rFonts w:asciiTheme="majorHAnsi" w:eastAsiaTheme="majorEastAsia" w:hAnsiTheme="majorHAnsi" w:cstheme="majorBidi"/>
      <w:i/>
      <w:iCs/>
      <w:color w:val="404040" w:themeColor="text1" w:themeTint="BF"/>
      <w:sz w:val="20"/>
      <w:szCs w:val="20"/>
      <w:lang w:val="en-US"/>
    </w:rPr>
  </w:style>
  <w:style w:type="character" w:styleId="CommentReference">
    <w:name w:val="annotation reference"/>
    <w:basedOn w:val="DefaultParagraphFont"/>
    <w:uiPriority w:val="99"/>
    <w:semiHidden/>
    <w:unhideWhenUsed/>
    <w:rsid w:val="00884C4A"/>
    <w:rPr>
      <w:sz w:val="16"/>
      <w:szCs w:val="16"/>
    </w:rPr>
  </w:style>
  <w:style w:type="paragraph" w:styleId="CommentText">
    <w:name w:val="annotation text"/>
    <w:basedOn w:val="Normal"/>
    <w:link w:val="CommentTextChar"/>
    <w:uiPriority w:val="99"/>
    <w:unhideWhenUsed/>
    <w:rsid w:val="00884C4A"/>
    <w:pPr>
      <w:spacing w:after="0" w:line="240" w:lineRule="auto"/>
    </w:pPr>
    <w:rPr>
      <w:rFonts w:ascii="Cambria" w:eastAsia="MS Mincho" w:hAnsi="Cambria" w:cs="Times New Roman"/>
      <w:sz w:val="20"/>
      <w:szCs w:val="20"/>
      <w:lang w:val="en-US"/>
    </w:rPr>
  </w:style>
  <w:style w:type="character" w:customStyle="1" w:styleId="CommentTextChar">
    <w:name w:val="Comment Text Char"/>
    <w:basedOn w:val="DefaultParagraphFont"/>
    <w:link w:val="CommentText"/>
    <w:uiPriority w:val="99"/>
    <w:rsid w:val="00884C4A"/>
    <w:rPr>
      <w:rFonts w:ascii="Cambria" w:eastAsia="MS Mincho" w:hAnsi="Cambria" w:cs="Times New Roman"/>
      <w:sz w:val="20"/>
      <w:szCs w:val="20"/>
      <w:lang w:val="en-US"/>
    </w:rPr>
  </w:style>
  <w:style w:type="paragraph" w:styleId="Header">
    <w:name w:val="header"/>
    <w:basedOn w:val="Normal"/>
    <w:link w:val="HeaderChar"/>
    <w:uiPriority w:val="99"/>
    <w:unhideWhenUsed/>
    <w:rsid w:val="00392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F8C"/>
  </w:style>
  <w:style w:type="paragraph" w:styleId="Footer">
    <w:name w:val="footer"/>
    <w:basedOn w:val="Normal"/>
    <w:link w:val="FooterChar"/>
    <w:uiPriority w:val="99"/>
    <w:unhideWhenUsed/>
    <w:rsid w:val="00392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F8C"/>
  </w:style>
  <w:style w:type="character" w:customStyle="1" w:styleId="ui-provider">
    <w:name w:val="ui-provider"/>
    <w:basedOn w:val="DefaultParagraphFont"/>
    <w:rsid w:val="00A0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6" ma:contentTypeDescription="Create a new document." ma:contentTypeScope="" ma:versionID="81d71e9719229c3aac97511d0c63c65e">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b457bbf34b016a155262149202356ad1"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e3f66-7142-44be-98fb-4991fc54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b8096-0cb1-4273-bc22-a2094f1797f9}" ma:internalName="TaxCatchAll" ma:showField="CatchAllData" ma:web="dbf0ef8b-9e01-42e8-97ea-d54c26e9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f0ef8b-9e01-42e8-97ea-d54c26e928e5" xsi:nil="true"/>
    <lcf76f155ced4ddcb4097134ff3c332f xmlns="6b912aa0-3188-499f-9ddc-0f4e715646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3548C9-FB3E-4592-B096-0AD706D9361E}">
  <ds:schemaRefs>
    <ds:schemaRef ds:uri="http://schemas.microsoft.com/sharepoint/v3/contenttype/forms"/>
  </ds:schemaRefs>
</ds:datastoreItem>
</file>

<file path=customXml/itemProps2.xml><?xml version="1.0" encoding="utf-8"?>
<ds:datastoreItem xmlns:ds="http://schemas.openxmlformats.org/officeDocument/2006/customXml" ds:itemID="{8FC5DFC1-E26D-43D5-A924-6AE1DDD8B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762E0-E684-4000-8689-FF1E133E94F6}">
  <ds:schemaRefs>
    <ds:schemaRef ds:uri="http://schemas.microsoft.com/office/2006/metadata/properties"/>
    <ds:schemaRef ds:uri="http://schemas.microsoft.com/office/infopath/2007/PartnerControls"/>
    <ds:schemaRef ds:uri="dbf0ef8b-9e01-42e8-97ea-d54c26e928e5"/>
    <ds:schemaRef ds:uri="6b912aa0-3188-499f-9ddc-0f4e71564698"/>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Parker Wooding</dc:creator>
  <cp:keywords/>
  <dc:description/>
  <cp:lastModifiedBy>Jen Parker Wooding</cp:lastModifiedBy>
  <cp:revision>71</cp:revision>
  <dcterms:created xsi:type="dcterms:W3CDTF">2023-01-17T16:16:00Z</dcterms:created>
  <dcterms:modified xsi:type="dcterms:W3CDTF">2023-02-24T12:40:00Z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MediaServiceImageTags">
    <vt:lpwstr/>
  </property>
</Properties>
</file>