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0663" w14:textId="04145E83" w:rsidR="004C7326" w:rsidRDefault="004C7326" w:rsidP="006B5C66">
      <w:pPr>
        <w:jc w:val="center"/>
        <w:rPr>
          <w:rFonts w:ascii="Arial" w:hAnsi="Arial" w:cs="Arial"/>
          <w:b/>
          <w:color w:val="731472"/>
          <w:sz w:val="52"/>
          <w:szCs w:val="52"/>
        </w:rPr>
      </w:pPr>
      <w:r w:rsidRPr="004C7326">
        <w:rPr>
          <w:rFonts w:ascii="Arial" w:hAnsi="Arial" w:cs="Arial"/>
          <w:b/>
          <w:color w:val="731472"/>
          <w:sz w:val="52"/>
          <w:szCs w:val="52"/>
        </w:rPr>
        <w:t>Toolkit for Finds Reporting:</w:t>
      </w:r>
    </w:p>
    <w:p w14:paraId="60F773FA" w14:textId="08CEA574" w:rsidR="00602907" w:rsidRPr="004C7326" w:rsidRDefault="004C7326" w:rsidP="006B5C66">
      <w:pPr>
        <w:jc w:val="center"/>
        <w:rPr>
          <w:rFonts w:ascii="Arial" w:hAnsi="Arial" w:cs="Arial"/>
          <w:b/>
          <w:sz w:val="52"/>
          <w:szCs w:val="52"/>
        </w:rPr>
      </w:pPr>
      <w:r w:rsidRPr="004C7326">
        <w:rPr>
          <w:rFonts w:ascii="Arial" w:hAnsi="Arial" w:cs="Arial"/>
          <w:b/>
          <w:color w:val="731472"/>
          <w:sz w:val="52"/>
          <w:szCs w:val="52"/>
        </w:rPr>
        <w:t>Roman Coinage</w:t>
      </w:r>
    </w:p>
    <w:p w14:paraId="072BCE83" w14:textId="369E1DBB" w:rsidR="00CA24A0" w:rsidRPr="004C7326" w:rsidRDefault="00CA24A0" w:rsidP="006B5C66">
      <w:pPr>
        <w:rPr>
          <w:rFonts w:ascii="Arial" w:hAnsi="Arial" w:cs="Arial"/>
          <w:b/>
          <w:szCs w:val="24"/>
        </w:rPr>
      </w:pPr>
    </w:p>
    <w:p w14:paraId="6AE753DE" w14:textId="21DC2021" w:rsidR="00CA24A0" w:rsidRPr="004C7326" w:rsidRDefault="00CA24A0" w:rsidP="006B5C66">
      <w:pPr>
        <w:jc w:val="center"/>
        <w:rPr>
          <w:rFonts w:ascii="Arial" w:hAnsi="Arial" w:cs="Arial"/>
          <w:b/>
          <w:i/>
          <w:iCs/>
          <w:sz w:val="22"/>
          <w:szCs w:val="22"/>
        </w:rPr>
      </w:pPr>
      <w:r w:rsidRPr="004C7326">
        <w:rPr>
          <w:rFonts w:ascii="Arial" w:hAnsi="Arial" w:cs="Arial"/>
          <w:i/>
          <w:iCs/>
          <w:sz w:val="22"/>
          <w:szCs w:val="22"/>
        </w:rPr>
        <w:t>A guide to the reliable and consistent reporting of Roman coins</w:t>
      </w:r>
    </w:p>
    <w:p w14:paraId="55DFE12A" w14:textId="14C965D6" w:rsidR="00587EA2" w:rsidRPr="004C7326" w:rsidRDefault="00587EA2" w:rsidP="006B5C66">
      <w:pPr>
        <w:rPr>
          <w:rFonts w:ascii="Arial" w:hAnsi="Arial" w:cs="Arial"/>
          <w:bCs/>
          <w:sz w:val="22"/>
          <w:szCs w:val="22"/>
        </w:rPr>
      </w:pPr>
    </w:p>
    <w:p w14:paraId="0D548009" w14:textId="1D3DE9FB" w:rsidR="00CA24A0" w:rsidRDefault="00CA24A0" w:rsidP="006B5C66">
      <w:pPr>
        <w:rPr>
          <w:rFonts w:ascii="Arial" w:hAnsi="Arial" w:cs="Arial"/>
          <w:bCs/>
          <w:sz w:val="22"/>
          <w:szCs w:val="22"/>
        </w:rPr>
      </w:pPr>
    </w:p>
    <w:p w14:paraId="6B46137A" w14:textId="77777777" w:rsidR="00A35C4A" w:rsidRDefault="00A35C4A" w:rsidP="006B5C66">
      <w:pPr>
        <w:rPr>
          <w:rFonts w:ascii="Arial" w:hAnsi="Arial" w:cs="Arial"/>
          <w:bCs/>
          <w:sz w:val="22"/>
          <w:szCs w:val="22"/>
        </w:rPr>
      </w:pPr>
    </w:p>
    <w:p w14:paraId="555E820D" w14:textId="77777777" w:rsidR="00A35C4A" w:rsidRPr="00A35C4A" w:rsidRDefault="00A35C4A" w:rsidP="006B5C66">
      <w:pPr>
        <w:rPr>
          <w:rFonts w:ascii="Arial" w:hAnsi="Arial" w:cs="Arial"/>
          <w:b/>
          <w:bCs/>
          <w:color w:val="731472"/>
          <w:sz w:val="22"/>
          <w:szCs w:val="22"/>
        </w:rPr>
      </w:pPr>
      <w:r w:rsidRPr="00A35C4A">
        <w:rPr>
          <w:rFonts w:ascii="Arial" w:hAnsi="Arial" w:cs="Arial"/>
          <w:b/>
          <w:bCs/>
          <w:color w:val="731472"/>
          <w:sz w:val="22"/>
          <w:szCs w:val="22"/>
        </w:rPr>
        <w:t>Toolkit Sections</w:t>
      </w:r>
    </w:p>
    <w:p w14:paraId="25B00B36" w14:textId="77777777" w:rsidR="00A35C4A" w:rsidRPr="004C7326" w:rsidRDefault="00A35C4A" w:rsidP="006B5C66">
      <w:pPr>
        <w:rPr>
          <w:rFonts w:ascii="Arial" w:hAnsi="Arial" w:cs="Arial"/>
          <w:sz w:val="22"/>
          <w:szCs w:val="22"/>
        </w:rPr>
      </w:pPr>
    </w:p>
    <w:p w14:paraId="6DAACBF7" w14:textId="77777777" w:rsidR="00A35C4A" w:rsidRPr="00A35C4A" w:rsidRDefault="00A35C4A" w:rsidP="006B5C66">
      <w:pPr>
        <w:rPr>
          <w:rFonts w:ascii="Arial" w:hAnsi="Arial" w:cs="Arial"/>
          <w:b/>
          <w:bCs/>
          <w:sz w:val="22"/>
          <w:szCs w:val="22"/>
        </w:rPr>
      </w:pPr>
      <w:r w:rsidRPr="00A35C4A">
        <w:rPr>
          <w:rFonts w:ascii="Arial" w:hAnsi="Arial" w:cs="Arial"/>
          <w:b/>
          <w:bCs/>
          <w:sz w:val="22"/>
          <w:szCs w:val="22"/>
        </w:rPr>
        <w:t>Introduction</w:t>
      </w:r>
    </w:p>
    <w:p w14:paraId="0CE94910" w14:textId="3E2F8380" w:rsidR="00A35C4A" w:rsidRDefault="00A35C4A" w:rsidP="007310DF">
      <w:pPr>
        <w:pStyle w:val="ListParagraph"/>
        <w:numPr>
          <w:ilvl w:val="0"/>
          <w:numId w:val="2"/>
        </w:numPr>
        <w:ind w:left="851" w:hanging="425"/>
        <w:rPr>
          <w:rFonts w:ascii="Arial" w:hAnsi="Arial" w:cs="Arial"/>
          <w:sz w:val="22"/>
          <w:szCs w:val="22"/>
        </w:rPr>
      </w:pPr>
      <w:r w:rsidRPr="004C7326">
        <w:rPr>
          <w:rFonts w:ascii="Arial" w:hAnsi="Arial" w:cs="Arial"/>
          <w:sz w:val="22"/>
          <w:szCs w:val="22"/>
        </w:rPr>
        <w:t xml:space="preserve">Introduction &amp; </w:t>
      </w:r>
      <w:r w:rsidR="00B250EA">
        <w:rPr>
          <w:rFonts w:ascii="Arial" w:hAnsi="Arial" w:cs="Arial"/>
          <w:sz w:val="22"/>
          <w:szCs w:val="22"/>
        </w:rPr>
        <w:t>b</w:t>
      </w:r>
      <w:r w:rsidRPr="004C7326">
        <w:rPr>
          <w:rFonts w:ascii="Arial" w:hAnsi="Arial" w:cs="Arial"/>
          <w:sz w:val="22"/>
          <w:szCs w:val="22"/>
        </w:rPr>
        <w:t>ackground</w:t>
      </w:r>
    </w:p>
    <w:p w14:paraId="3FD4A94E" w14:textId="57C0CBD0" w:rsidR="009932D1" w:rsidRPr="004C7326" w:rsidRDefault="009932D1" w:rsidP="007310DF">
      <w:pPr>
        <w:pStyle w:val="ListParagraph"/>
        <w:numPr>
          <w:ilvl w:val="0"/>
          <w:numId w:val="2"/>
        </w:numPr>
        <w:ind w:left="851" w:hanging="425"/>
        <w:rPr>
          <w:rFonts w:ascii="Arial" w:hAnsi="Arial" w:cs="Arial"/>
          <w:sz w:val="22"/>
          <w:szCs w:val="22"/>
        </w:rPr>
      </w:pPr>
      <w:r>
        <w:rPr>
          <w:rFonts w:ascii="Arial" w:hAnsi="Arial" w:cs="Arial"/>
          <w:sz w:val="22"/>
          <w:szCs w:val="22"/>
        </w:rPr>
        <w:t>Coins as archaeological artefacts</w:t>
      </w:r>
    </w:p>
    <w:p w14:paraId="6CA4A302" w14:textId="2AFB5C83" w:rsidR="00A35C4A" w:rsidRPr="004C7326" w:rsidRDefault="00A35C4A" w:rsidP="007310DF">
      <w:pPr>
        <w:pStyle w:val="ListParagraph"/>
        <w:numPr>
          <w:ilvl w:val="0"/>
          <w:numId w:val="3"/>
        </w:numPr>
        <w:ind w:left="851" w:hanging="425"/>
        <w:rPr>
          <w:rFonts w:ascii="Arial" w:hAnsi="Arial" w:cs="Arial"/>
          <w:sz w:val="22"/>
          <w:szCs w:val="22"/>
        </w:rPr>
      </w:pPr>
      <w:r w:rsidRPr="004C7326">
        <w:rPr>
          <w:rFonts w:ascii="Arial" w:hAnsi="Arial" w:cs="Arial"/>
          <w:sz w:val="22"/>
          <w:szCs w:val="22"/>
        </w:rPr>
        <w:t xml:space="preserve">Current </w:t>
      </w:r>
      <w:r w:rsidR="00A24BF5">
        <w:rPr>
          <w:rFonts w:ascii="Arial" w:hAnsi="Arial" w:cs="Arial"/>
          <w:sz w:val="22"/>
          <w:szCs w:val="22"/>
        </w:rPr>
        <w:t>s</w:t>
      </w:r>
      <w:r w:rsidRPr="004C7326">
        <w:rPr>
          <w:rFonts w:ascii="Arial" w:hAnsi="Arial" w:cs="Arial"/>
          <w:sz w:val="22"/>
          <w:szCs w:val="22"/>
        </w:rPr>
        <w:t xml:space="preserve">tandards and </w:t>
      </w:r>
      <w:r w:rsidR="00A24BF5">
        <w:rPr>
          <w:rFonts w:ascii="Arial" w:hAnsi="Arial" w:cs="Arial"/>
          <w:sz w:val="22"/>
          <w:szCs w:val="22"/>
        </w:rPr>
        <w:t>g</w:t>
      </w:r>
      <w:r w:rsidRPr="004C7326">
        <w:rPr>
          <w:rFonts w:ascii="Arial" w:hAnsi="Arial" w:cs="Arial"/>
          <w:sz w:val="22"/>
          <w:szCs w:val="22"/>
        </w:rPr>
        <w:t>uidance</w:t>
      </w:r>
    </w:p>
    <w:p w14:paraId="030E6669" w14:textId="77777777" w:rsidR="00A35C4A" w:rsidRPr="00A35C4A" w:rsidRDefault="00A35C4A" w:rsidP="006B5C66">
      <w:pPr>
        <w:rPr>
          <w:rFonts w:ascii="Arial" w:hAnsi="Arial" w:cs="Arial"/>
          <w:b/>
          <w:bCs/>
          <w:sz w:val="22"/>
          <w:szCs w:val="22"/>
        </w:rPr>
      </w:pPr>
      <w:r w:rsidRPr="00A35C4A">
        <w:rPr>
          <w:rFonts w:ascii="Arial" w:hAnsi="Arial" w:cs="Arial"/>
          <w:b/>
          <w:bCs/>
          <w:sz w:val="22"/>
          <w:szCs w:val="22"/>
        </w:rPr>
        <w:t>The Toolkit</w:t>
      </w:r>
    </w:p>
    <w:p w14:paraId="5A7B8629" w14:textId="77777777" w:rsidR="00A35C4A" w:rsidRPr="004C7326" w:rsidRDefault="00A35C4A" w:rsidP="007310DF">
      <w:pPr>
        <w:pStyle w:val="ListParagraph"/>
        <w:numPr>
          <w:ilvl w:val="0"/>
          <w:numId w:val="3"/>
        </w:numPr>
        <w:ind w:left="851" w:hanging="425"/>
        <w:rPr>
          <w:rFonts w:ascii="Arial" w:hAnsi="Arial" w:cs="Arial"/>
          <w:sz w:val="22"/>
          <w:szCs w:val="22"/>
        </w:rPr>
      </w:pPr>
      <w:r w:rsidRPr="004C7326">
        <w:rPr>
          <w:rFonts w:ascii="Arial" w:hAnsi="Arial" w:cs="Arial"/>
          <w:sz w:val="22"/>
          <w:szCs w:val="22"/>
        </w:rPr>
        <w:t>What is the Toolkit for?</w:t>
      </w:r>
    </w:p>
    <w:p w14:paraId="4FD6BFB1" w14:textId="77777777" w:rsidR="00A35C4A" w:rsidRPr="004C7326" w:rsidRDefault="00A35C4A" w:rsidP="007310DF">
      <w:pPr>
        <w:pStyle w:val="ListParagraph"/>
        <w:numPr>
          <w:ilvl w:val="0"/>
          <w:numId w:val="3"/>
        </w:numPr>
        <w:ind w:left="851" w:hanging="425"/>
        <w:rPr>
          <w:rFonts w:ascii="Arial" w:hAnsi="Arial" w:cs="Arial"/>
          <w:sz w:val="22"/>
          <w:szCs w:val="22"/>
        </w:rPr>
      </w:pPr>
      <w:r w:rsidRPr="004C7326">
        <w:rPr>
          <w:rFonts w:ascii="Arial" w:hAnsi="Arial" w:cs="Arial"/>
          <w:sz w:val="22"/>
          <w:szCs w:val="22"/>
        </w:rPr>
        <w:t>Who is the Toolkit for?</w:t>
      </w:r>
    </w:p>
    <w:p w14:paraId="7C84D040" w14:textId="77777777" w:rsidR="00A35C4A" w:rsidRPr="004C7326" w:rsidRDefault="00A35C4A" w:rsidP="007310DF">
      <w:pPr>
        <w:pStyle w:val="ListParagraph"/>
        <w:numPr>
          <w:ilvl w:val="0"/>
          <w:numId w:val="3"/>
        </w:numPr>
        <w:ind w:left="851" w:hanging="425"/>
        <w:rPr>
          <w:rFonts w:ascii="Arial" w:hAnsi="Arial" w:cs="Arial"/>
          <w:sz w:val="22"/>
          <w:szCs w:val="22"/>
        </w:rPr>
      </w:pPr>
      <w:r w:rsidRPr="004C7326">
        <w:rPr>
          <w:rFonts w:ascii="Arial" w:hAnsi="Arial" w:cs="Arial"/>
          <w:sz w:val="22"/>
          <w:szCs w:val="22"/>
        </w:rPr>
        <w:t>What is in the Toolkit?</w:t>
      </w:r>
    </w:p>
    <w:p w14:paraId="0E36171F" w14:textId="1C88F95B" w:rsidR="00A35C4A" w:rsidRPr="004C7326" w:rsidRDefault="0061025C" w:rsidP="007310DF">
      <w:pPr>
        <w:pStyle w:val="ListParagraph"/>
        <w:numPr>
          <w:ilvl w:val="0"/>
          <w:numId w:val="3"/>
        </w:numPr>
        <w:ind w:left="851" w:hanging="425"/>
        <w:rPr>
          <w:rFonts w:ascii="Arial" w:hAnsi="Arial" w:cs="Arial"/>
          <w:sz w:val="22"/>
          <w:szCs w:val="22"/>
        </w:rPr>
      </w:pPr>
      <w:r>
        <w:rPr>
          <w:rFonts w:ascii="Arial" w:hAnsi="Arial" w:cs="Arial"/>
          <w:sz w:val="22"/>
          <w:szCs w:val="22"/>
        </w:rPr>
        <w:t>Project Life Cycl</w:t>
      </w:r>
      <w:r w:rsidR="00075095">
        <w:rPr>
          <w:rFonts w:ascii="Arial" w:hAnsi="Arial" w:cs="Arial"/>
          <w:sz w:val="22"/>
          <w:szCs w:val="22"/>
        </w:rPr>
        <w:t>e</w:t>
      </w:r>
    </w:p>
    <w:p w14:paraId="4C21BB14" w14:textId="1C8BDFED" w:rsidR="00A35C4A" w:rsidRPr="004C7326" w:rsidRDefault="00A35C4A" w:rsidP="007310DF">
      <w:pPr>
        <w:pStyle w:val="ListParagraph"/>
        <w:numPr>
          <w:ilvl w:val="0"/>
          <w:numId w:val="3"/>
        </w:numPr>
        <w:ind w:left="851" w:hanging="425"/>
        <w:rPr>
          <w:rFonts w:ascii="Arial" w:hAnsi="Arial" w:cs="Arial"/>
          <w:sz w:val="22"/>
          <w:szCs w:val="22"/>
        </w:rPr>
      </w:pPr>
      <w:r w:rsidRPr="004C7326">
        <w:rPr>
          <w:rFonts w:ascii="Arial" w:hAnsi="Arial" w:cs="Arial"/>
          <w:sz w:val="22"/>
          <w:szCs w:val="22"/>
        </w:rPr>
        <w:t>Reporting of Roman Coins</w:t>
      </w:r>
    </w:p>
    <w:p w14:paraId="63CA7BA1" w14:textId="03118B4C" w:rsidR="00052DB0" w:rsidRPr="004C7326" w:rsidRDefault="00052DB0" w:rsidP="00052DB0">
      <w:pPr>
        <w:pStyle w:val="ListParagraph"/>
        <w:numPr>
          <w:ilvl w:val="0"/>
          <w:numId w:val="3"/>
        </w:numPr>
        <w:ind w:left="851" w:hanging="425"/>
        <w:rPr>
          <w:rFonts w:ascii="Arial" w:hAnsi="Arial" w:cs="Arial"/>
          <w:sz w:val="22"/>
          <w:szCs w:val="22"/>
        </w:rPr>
      </w:pPr>
      <w:bookmarkStart w:id="0" w:name="_Hlk103247536"/>
      <w:r w:rsidRPr="004C7326">
        <w:rPr>
          <w:rFonts w:ascii="Arial" w:hAnsi="Arial" w:cs="Arial"/>
          <w:sz w:val="22"/>
          <w:szCs w:val="22"/>
        </w:rPr>
        <w:t>Glossary</w:t>
      </w:r>
      <w:r>
        <w:rPr>
          <w:rFonts w:ascii="Arial" w:hAnsi="Arial" w:cs="Arial"/>
          <w:sz w:val="22"/>
          <w:szCs w:val="22"/>
        </w:rPr>
        <w:t xml:space="preserve"> for the Roman Coin Identification Template</w:t>
      </w:r>
    </w:p>
    <w:bookmarkEnd w:id="0"/>
    <w:p w14:paraId="4512DEA8" w14:textId="77777777" w:rsidR="00A35C4A" w:rsidRPr="004C7326" w:rsidRDefault="00A35C4A" w:rsidP="007310DF">
      <w:pPr>
        <w:pStyle w:val="ListParagraph"/>
        <w:numPr>
          <w:ilvl w:val="0"/>
          <w:numId w:val="3"/>
        </w:numPr>
        <w:ind w:left="851" w:hanging="425"/>
        <w:rPr>
          <w:rFonts w:ascii="Arial" w:hAnsi="Arial" w:cs="Arial"/>
          <w:sz w:val="22"/>
          <w:szCs w:val="22"/>
        </w:rPr>
      </w:pPr>
      <w:r w:rsidRPr="004C7326">
        <w:rPr>
          <w:rFonts w:ascii="Arial" w:hAnsi="Arial" w:cs="Arial"/>
          <w:sz w:val="22"/>
          <w:szCs w:val="22"/>
        </w:rPr>
        <w:t>Analysis of Roman Coins</w:t>
      </w:r>
    </w:p>
    <w:p w14:paraId="7FF4BE8D" w14:textId="77777777" w:rsidR="00A35C4A" w:rsidRPr="004C7326" w:rsidRDefault="00A35C4A" w:rsidP="007310DF">
      <w:pPr>
        <w:pStyle w:val="ListParagraph"/>
        <w:numPr>
          <w:ilvl w:val="0"/>
          <w:numId w:val="3"/>
        </w:numPr>
        <w:ind w:left="851" w:hanging="425"/>
        <w:rPr>
          <w:rFonts w:ascii="Arial" w:hAnsi="Arial" w:cs="Arial"/>
          <w:sz w:val="22"/>
          <w:szCs w:val="22"/>
        </w:rPr>
      </w:pPr>
      <w:r w:rsidRPr="004C7326">
        <w:rPr>
          <w:rFonts w:ascii="Arial" w:hAnsi="Arial" w:cs="Arial"/>
          <w:sz w:val="22"/>
          <w:szCs w:val="22"/>
        </w:rPr>
        <w:t>Archives</w:t>
      </w:r>
    </w:p>
    <w:p w14:paraId="6EDB894F" w14:textId="77777777" w:rsidR="00A35C4A" w:rsidRPr="004C7326" w:rsidRDefault="00A35C4A" w:rsidP="007310DF">
      <w:pPr>
        <w:pStyle w:val="ListParagraph"/>
        <w:numPr>
          <w:ilvl w:val="0"/>
          <w:numId w:val="3"/>
        </w:numPr>
        <w:ind w:left="851" w:hanging="425"/>
        <w:rPr>
          <w:rFonts w:ascii="Arial" w:hAnsi="Arial" w:cs="Arial"/>
          <w:sz w:val="22"/>
          <w:szCs w:val="22"/>
        </w:rPr>
      </w:pPr>
      <w:r w:rsidRPr="004C7326">
        <w:rPr>
          <w:rFonts w:ascii="Arial" w:hAnsi="Arial" w:cs="Arial"/>
          <w:sz w:val="22"/>
          <w:szCs w:val="22"/>
        </w:rPr>
        <w:t>Downloadable Resources</w:t>
      </w:r>
    </w:p>
    <w:p w14:paraId="772F839F" w14:textId="77777777" w:rsidR="00A35C4A" w:rsidRPr="004C7326" w:rsidRDefault="00A35C4A" w:rsidP="007310DF">
      <w:pPr>
        <w:pStyle w:val="ListParagraph"/>
        <w:numPr>
          <w:ilvl w:val="0"/>
          <w:numId w:val="3"/>
        </w:numPr>
        <w:ind w:left="851" w:hanging="425"/>
        <w:rPr>
          <w:rFonts w:ascii="Arial" w:hAnsi="Arial" w:cs="Arial"/>
          <w:sz w:val="22"/>
          <w:szCs w:val="22"/>
        </w:rPr>
      </w:pPr>
      <w:r w:rsidRPr="004C7326">
        <w:rPr>
          <w:rFonts w:ascii="Arial" w:hAnsi="Arial" w:cs="Arial"/>
          <w:sz w:val="22"/>
          <w:szCs w:val="22"/>
        </w:rPr>
        <w:t>Useful Contacts &amp; Resources</w:t>
      </w:r>
    </w:p>
    <w:p w14:paraId="5C84C9DF" w14:textId="77777777" w:rsidR="00713011" w:rsidRPr="00174F03" w:rsidRDefault="00713011" w:rsidP="00713011">
      <w:pPr>
        <w:pBdr>
          <w:bottom w:val="single" w:sz="6" w:space="1" w:color="auto"/>
        </w:pBdr>
        <w:rPr>
          <w:rFonts w:ascii="Arial" w:hAnsi="Arial" w:cs="Arial"/>
          <w:bCs/>
          <w:sz w:val="22"/>
          <w:szCs w:val="22"/>
        </w:rPr>
      </w:pPr>
    </w:p>
    <w:p w14:paraId="538D5B9D" w14:textId="5BFC2A08" w:rsidR="00A35C4A" w:rsidRDefault="00A35C4A" w:rsidP="006B5C66">
      <w:pPr>
        <w:rPr>
          <w:rFonts w:ascii="Arial" w:hAnsi="Arial" w:cs="Arial"/>
          <w:bCs/>
          <w:sz w:val="22"/>
          <w:szCs w:val="22"/>
        </w:rPr>
      </w:pPr>
    </w:p>
    <w:p w14:paraId="5297AA48" w14:textId="7D82747E" w:rsidR="00253D36" w:rsidRDefault="00253D36" w:rsidP="006B5C66">
      <w:pPr>
        <w:jc w:val="center"/>
        <w:rPr>
          <w:rFonts w:ascii="Arial" w:hAnsi="Arial" w:cs="Arial"/>
          <w:b/>
          <w:bCs/>
          <w:color w:val="731472"/>
          <w:sz w:val="22"/>
          <w:szCs w:val="22"/>
        </w:rPr>
      </w:pPr>
      <w:r w:rsidRPr="00A35C4A">
        <w:rPr>
          <w:rFonts w:ascii="Arial" w:hAnsi="Arial" w:cs="Arial"/>
          <w:b/>
          <w:bCs/>
          <w:color w:val="731472"/>
          <w:sz w:val="22"/>
          <w:szCs w:val="22"/>
        </w:rPr>
        <w:t>INTRODUCTION</w:t>
      </w:r>
    </w:p>
    <w:p w14:paraId="3CAD7191" w14:textId="77777777" w:rsidR="00B250EA" w:rsidRPr="00A35C4A" w:rsidRDefault="00B250EA" w:rsidP="006B5C66">
      <w:pPr>
        <w:rPr>
          <w:rFonts w:ascii="Arial" w:hAnsi="Arial" w:cs="Arial"/>
          <w:b/>
          <w:bCs/>
          <w:color w:val="731472"/>
          <w:sz w:val="22"/>
          <w:szCs w:val="22"/>
        </w:rPr>
      </w:pPr>
    </w:p>
    <w:p w14:paraId="1B69FC36" w14:textId="24D1C056" w:rsidR="00587AF1" w:rsidRPr="00587AF1" w:rsidRDefault="00A35C4A" w:rsidP="006B5C66">
      <w:pPr>
        <w:jc w:val="both"/>
        <w:rPr>
          <w:rFonts w:ascii="Arial" w:hAnsi="Arial" w:cs="Arial"/>
          <w:sz w:val="22"/>
          <w:szCs w:val="22"/>
        </w:rPr>
      </w:pPr>
      <w:r w:rsidRPr="00A35C4A">
        <w:rPr>
          <w:rFonts w:ascii="Arial" w:hAnsi="Arial" w:cs="Arial"/>
          <w:sz w:val="22"/>
          <w:szCs w:val="22"/>
        </w:rPr>
        <w:t xml:space="preserve">The </w:t>
      </w:r>
      <w:r w:rsidRPr="00850E46">
        <w:rPr>
          <w:rFonts w:ascii="Arial" w:hAnsi="Arial" w:cs="Arial"/>
          <w:b/>
          <w:bCs/>
          <w:sz w:val="22"/>
          <w:szCs w:val="22"/>
        </w:rPr>
        <w:t xml:space="preserve">Toolkit for </w:t>
      </w:r>
      <w:r w:rsidR="001F2D38" w:rsidRPr="00850E46">
        <w:rPr>
          <w:rFonts w:ascii="Arial" w:hAnsi="Arial" w:cs="Arial"/>
          <w:b/>
          <w:bCs/>
          <w:sz w:val="22"/>
          <w:szCs w:val="22"/>
        </w:rPr>
        <w:t>Finds</w:t>
      </w:r>
      <w:r w:rsidRPr="00850E46">
        <w:rPr>
          <w:rFonts w:ascii="Arial" w:hAnsi="Arial" w:cs="Arial"/>
          <w:b/>
          <w:bCs/>
          <w:sz w:val="22"/>
          <w:szCs w:val="22"/>
        </w:rPr>
        <w:t xml:space="preserve"> Reporting</w:t>
      </w:r>
      <w:r w:rsidR="001F2D38" w:rsidRPr="00850E46">
        <w:rPr>
          <w:rFonts w:ascii="Arial" w:hAnsi="Arial" w:cs="Arial"/>
          <w:b/>
          <w:bCs/>
          <w:sz w:val="22"/>
          <w:szCs w:val="22"/>
        </w:rPr>
        <w:t>: Roman Coinage</w:t>
      </w:r>
      <w:r w:rsidRPr="00A35C4A">
        <w:rPr>
          <w:rFonts w:ascii="Arial" w:hAnsi="Arial" w:cs="Arial"/>
          <w:sz w:val="22"/>
          <w:szCs w:val="22"/>
        </w:rPr>
        <w:t xml:space="preserve"> </w:t>
      </w:r>
      <w:r w:rsidR="00E34F66">
        <w:rPr>
          <w:rFonts w:ascii="Arial" w:hAnsi="Arial" w:cs="Arial"/>
          <w:sz w:val="22"/>
          <w:szCs w:val="22"/>
        </w:rPr>
        <w:t>is</w:t>
      </w:r>
      <w:r w:rsidRPr="00A35C4A">
        <w:rPr>
          <w:rFonts w:ascii="Arial" w:hAnsi="Arial" w:cs="Arial"/>
          <w:sz w:val="22"/>
          <w:szCs w:val="22"/>
        </w:rPr>
        <w:t xml:space="preserve"> a nationally recognised </w:t>
      </w:r>
      <w:r w:rsidR="00587AF1">
        <w:rPr>
          <w:rFonts w:ascii="Arial" w:hAnsi="Arial" w:cs="Arial"/>
          <w:sz w:val="22"/>
          <w:szCs w:val="22"/>
        </w:rPr>
        <w:t>guide</w:t>
      </w:r>
      <w:r w:rsidRPr="00A35C4A">
        <w:rPr>
          <w:rFonts w:ascii="Arial" w:hAnsi="Arial" w:cs="Arial"/>
          <w:sz w:val="22"/>
          <w:szCs w:val="22"/>
        </w:rPr>
        <w:t xml:space="preserve"> </w:t>
      </w:r>
      <w:r w:rsidR="001D637F">
        <w:rPr>
          <w:rFonts w:ascii="Arial" w:hAnsi="Arial" w:cs="Arial"/>
          <w:sz w:val="22"/>
          <w:szCs w:val="22"/>
        </w:rPr>
        <w:t>for</w:t>
      </w:r>
      <w:r w:rsidRPr="00A35C4A">
        <w:rPr>
          <w:rFonts w:ascii="Arial" w:hAnsi="Arial" w:cs="Arial"/>
          <w:sz w:val="22"/>
          <w:szCs w:val="22"/>
        </w:rPr>
        <w:t xml:space="preserve"> anyone engaged in </w:t>
      </w:r>
      <w:r w:rsidR="0061025C">
        <w:rPr>
          <w:rFonts w:ascii="Arial" w:hAnsi="Arial" w:cs="Arial"/>
          <w:sz w:val="22"/>
          <w:szCs w:val="22"/>
        </w:rPr>
        <w:t xml:space="preserve">the </w:t>
      </w:r>
      <w:r w:rsidR="0061025C" w:rsidRPr="00A35C4A">
        <w:rPr>
          <w:rFonts w:ascii="Arial" w:hAnsi="Arial" w:cs="Arial"/>
          <w:sz w:val="22"/>
          <w:szCs w:val="22"/>
        </w:rPr>
        <w:t>planning</w:t>
      </w:r>
      <w:r w:rsidR="0061025C">
        <w:rPr>
          <w:rFonts w:ascii="Arial" w:hAnsi="Arial" w:cs="Arial"/>
          <w:sz w:val="22"/>
          <w:szCs w:val="22"/>
        </w:rPr>
        <w:t>,</w:t>
      </w:r>
      <w:r w:rsidR="0061025C" w:rsidRPr="00A35C4A">
        <w:rPr>
          <w:rFonts w:ascii="Arial" w:hAnsi="Arial" w:cs="Arial"/>
          <w:sz w:val="22"/>
          <w:szCs w:val="22"/>
        </w:rPr>
        <w:t xml:space="preserve"> </w:t>
      </w:r>
      <w:r w:rsidRPr="00A35C4A">
        <w:rPr>
          <w:rFonts w:ascii="Arial" w:hAnsi="Arial" w:cs="Arial"/>
          <w:sz w:val="22"/>
          <w:szCs w:val="22"/>
        </w:rPr>
        <w:t>commissioning,</w:t>
      </w:r>
      <w:r w:rsidR="0061025C">
        <w:rPr>
          <w:rFonts w:ascii="Arial" w:hAnsi="Arial" w:cs="Arial"/>
          <w:sz w:val="22"/>
          <w:szCs w:val="22"/>
        </w:rPr>
        <w:t xml:space="preserve"> </w:t>
      </w:r>
      <w:r w:rsidRPr="00A35C4A">
        <w:rPr>
          <w:rFonts w:ascii="Arial" w:hAnsi="Arial" w:cs="Arial"/>
          <w:sz w:val="22"/>
          <w:szCs w:val="22"/>
        </w:rPr>
        <w:t>produc</w:t>
      </w:r>
      <w:r w:rsidR="0061025C">
        <w:rPr>
          <w:rFonts w:ascii="Arial" w:hAnsi="Arial" w:cs="Arial"/>
          <w:sz w:val="22"/>
          <w:szCs w:val="22"/>
        </w:rPr>
        <w:t>tion</w:t>
      </w:r>
      <w:r w:rsidRPr="00A35C4A">
        <w:rPr>
          <w:rFonts w:ascii="Arial" w:hAnsi="Arial" w:cs="Arial"/>
          <w:sz w:val="22"/>
          <w:szCs w:val="22"/>
        </w:rPr>
        <w:t xml:space="preserve"> or monitoring</w:t>
      </w:r>
      <w:r w:rsidR="0061025C">
        <w:rPr>
          <w:rFonts w:ascii="Arial" w:hAnsi="Arial" w:cs="Arial"/>
          <w:sz w:val="22"/>
          <w:szCs w:val="22"/>
        </w:rPr>
        <w:t xml:space="preserve"> of</w:t>
      </w:r>
      <w:r w:rsidRPr="00A35C4A">
        <w:rPr>
          <w:rFonts w:ascii="Arial" w:hAnsi="Arial" w:cs="Arial"/>
          <w:sz w:val="22"/>
          <w:szCs w:val="22"/>
        </w:rPr>
        <w:t xml:space="preserve"> a specialist report on </w:t>
      </w:r>
      <w:r>
        <w:rPr>
          <w:rFonts w:ascii="Arial" w:hAnsi="Arial" w:cs="Arial"/>
          <w:sz w:val="22"/>
          <w:szCs w:val="22"/>
        </w:rPr>
        <w:t>Roman coins</w:t>
      </w:r>
      <w:r w:rsidRPr="00A35C4A">
        <w:rPr>
          <w:rFonts w:ascii="Arial" w:hAnsi="Arial" w:cs="Arial"/>
          <w:sz w:val="22"/>
          <w:szCs w:val="22"/>
        </w:rPr>
        <w:t xml:space="preserve">. It has been designed to be </w:t>
      </w:r>
      <w:r w:rsidR="00707012">
        <w:rPr>
          <w:rFonts w:ascii="Arial" w:hAnsi="Arial" w:cs="Arial"/>
          <w:sz w:val="22"/>
          <w:szCs w:val="22"/>
        </w:rPr>
        <w:t xml:space="preserve">used for the reporting of Roman coin finds from all types of </w:t>
      </w:r>
      <w:r w:rsidRPr="00A35C4A">
        <w:rPr>
          <w:rFonts w:ascii="Arial" w:hAnsi="Arial" w:cs="Arial"/>
          <w:sz w:val="22"/>
          <w:szCs w:val="22"/>
        </w:rPr>
        <w:t xml:space="preserve">archaeological projects </w:t>
      </w:r>
      <w:r w:rsidR="00707012">
        <w:rPr>
          <w:rFonts w:ascii="Arial" w:hAnsi="Arial" w:cs="Arial"/>
          <w:sz w:val="22"/>
          <w:szCs w:val="22"/>
        </w:rPr>
        <w:t>(</w:t>
      </w:r>
      <w:r w:rsidRPr="00A35C4A">
        <w:rPr>
          <w:rFonts w:ascii="Arial" w:hAnsi="Arial" w:cs="Arial"/>
          <w:sz w:val="22"/>
          <w:szCs w:val="22"/>
        </w:rPr>
        <w:t>surface collectio</w:t>
      </w:r>
      <w:r w:rsidR="00707012">
        <w:rPr>
          <w:rFonts w:ascii="Arial" w:hAnsi="Arial" w:cs="Arial"/>
          <w:sz w:val="22"/>
          <w:szCs w:val="22"/>
        </w:rPr>
        <w:t>n</w:t>
      </w:r>
      <w:r w:rsidRPr="00A35C4A">
        <w:rPr>
          <w:rFonts w:ascii="Arial" w:hAnsi="Arial" w:cs="Arial"/>
          <w:sz w:val="22"/>
          <w:szCs w:val="22"/>
        </w:rPr>
        <w:t>, watching briefs, evaluations</w:t>
      </w:r>
      <w:r w:rsidR="00707012">
        <w:rPr>
          <w:rFonts w:ascii="Arial" w:hAnsi="Arial" w:cs="Arial"/>
          <w:sz w:val="22"/>
          <w:szCs w:val="22"/>
        </w:rPr>
        <w:t xml:space="preserve"> and </w:t>
      </w:r>
      <w:r w:rsidRPr="00A35C4A">
        <w:rPr>
          <w:rFonts w:ascii="Arial" w:hAnsi="Arial" w:cs="Arial"/>
          <w:sz w:val="22"/>
          <w:szCs w:val="22"/>
        </w:rPr>
        <w:t>full-scale excavations</w:t>
      </w:r>
      <w:r w:rsidR="00707012">
        <w:rPr>
          <w:rFonts w:ascii="Arial" w:hAnsi="Arial" w:cs="Arial"/>
          <w:sz w:val="22"/>
          <w:szCs w:val="22"/>
        </w:rPr>
        <w:t xml:space="preserve">), </w:t>
      </w:r>
      <w:r w:rsidR="007675FA">
        <w:rPr>
          <w:rFonts w:ascii="Arial" w:hAnsi="Arial" w:cs="Arial"/>
          <w:sz w:val="22"/>
          <w:szCs w:val="22"/>
        </w:rPr>
        <w:t xml:space="preserve">and </w:t>
      </w:r>
      <w:r w:rsidR="001F2D38">
        <w:rPr>
          <w:rFonts w:ascii="Arial" w:hAnsi="Arial" w:cs="Arial"/>
          <w:sz w:val="22"/>
          <w:szCs w:val="22"/>
        </w:rPr>
        <w:t xml:space="preserve">at all stages of </w:t>
      </w:r>
      <w:r w:rsidR="00783CBF">
        <w:rPr>
          <w:rFonts w:ascii="Arial" w:hAnsi="Arial" w:cs="Arial"/>
          <w:sz w:val="22"/>
          <w:szCs w:val="22"/>
        </w:rPr>
        <w:t>a</w:t>
      </w:r>
      <w:r w:rsidR="001F2D38">
        <w:rPr>
          <w:rFonts w:ascii="Arial" w:hAnsi="Arial" w:cs="Arial"/>
          <w:sz w:val="22"/>
          <w:szCs w:val="22"/>
        </w:rPr>
        <w:t xml:space="preserve"> project’s life cycle (planning, execution, post-excavation </w:t>
      </w:r>
      <w:r w:rsidR="001F2D38" w:rsidRPr="00587AF1">
        <w:rPr>
          <w:rFonts w:ascii="Arial" w:hAnsi="Arial" w:cs="Arial"/>
          <w:sz w:val="22"/>
          <w:szCs w:val="22"/>
        </w:rPr>
        <w:t xml:space="preserve">assessment and preparation of archive </w:t>
      </w:r>
      <w:r w:rsidR="00587AF1" w:rsidRPr="00587AF1">
        <w:rPr>
          <w:rFonts w:ascii="Arial" w:hAnsi="Arial" w:cs="Arial"/>
          <w:sz w:val="22"/>
          <w:szCs w:val="22"/>
        </w:rPr>
        <w:t xml:space="preserve">reports </w:t>
      </w:r>
      <w:r w:rsidR="001F2D38" w:rsidRPr="00587AF1">
        <w:rPr>
          <w:rFonts w:ascii="Arial" w:hAnsi="Arial" w:cs="Arial"/>
          <w:sz w:val="22"/>
          <w:szCs w:val="22"/>
        </w:rPr>
        <w:t xml:space="preserve">and </w:t>
      </w:r>
      <w:r w:rsidR="00587AF1" w:rsidRPr="00587AF1">
        <w:rPr>
          <w:rFonts w:ascii="Arial" w:hAnsi="Arial" w:cs="Arial"/>
          <w:sz w:val="22"/>
          <w:szCs w:val="22"/>
        </w:rPr>
        <w:t xml:space="preserve">publications). </w:t>
      </w:r>
    </w:p>
    <w:p w14:paraId="73E56226" w14:textId="62F2B256" w:rsidR="00A35C4A" w:rsidRPr="00587AF1" w:rsidRDefault="00A35C4A" w:rsidP="006B5C66">
      <w:pPr>
        <w:jc w:val="both"/>
        <w:rPr>
          <w:rFonts w:ascii="Arial" w:hAnsi="Arial" w:cs="Arial"/>
          <w:sz w:val="22"/>
          <w:szCs w:val="22"/>
        </w:rPr>
      </w:pPr>
    </w:p>
    <w:p w14:paraId="2F4A273E" w14:textId="3A844E14" w:rsidR="00707012" w:rsidRPr="00587AF1" w:rsidRDefault="00524A7D" w:rsidP="006B5C66">
      <w:pPr>
        <w:jc w:val="both"/>
        <w:rPr>
          <w:rFonts w:ascii="Arial" w:hAnsi="Arial" w:cs="Arial"/>
          <w:sz w:val="22"/>
          <w:szCs w:val="22"/>
        </w:rPr>
      </w:pPr>
      <w:r>
        <w:rPr>
          <w:rFonts w:ascii="Arial" w:hAnsi="Arial" w:cs="Arial"/>
          <w:sz w:val="22"/>
          <w:szCs w:val="22"/>
        </w:rPr>
        <w:t>This</w:t>
      </w:r>
      <w:r w:rsidR="00587AF1" w:rsidRPr="00587AF1">
        <w:rPr>
          <w:rFonts w:ascii="Arial" w:hAnsi="Arial" w:cs="Arial"/>
          <w:sz w:val="22"/>
          <w:szCs w:val="22"/>
        </w:rPr>
        <w:t xml:space="preserve"> Toolkit has been created </w:t>
      </w:r>
      <w:r w:rsidR="00C92EC3">
        <w:rPr>
          <w:rFonts w:ascii="Arial" w:hAnsi="Arial" w:cs="Arial"/>
          <w:sz w:val="22"/>
          <w:szCs w:val="22"/>
        </w:rPr>
        <w:t xml:space="preserve">specifically </w:t>
      </w:r>
      <w:r w:rsidR="00587AF1" w:rsidRPr="00587AF1">
        <w:rPr>
          <w:rFonts w:ascii="Arial" w:hAnsi="Arial" w:cs="Arial"/>
          <w:sz w:val="22"/>
          <w:szCs w:val="22"/>
        </w:rPr>
        <w:t xml:space="preserve">to apply to </w:t>
      </w:r>
      <w:r w:rsidR="006B577C">
        <w:rPr>
          <w:rFonts w:ascii="Arial" w:hAnsi="Arial" w:cs="Arial"/>
          <w:sz w:val="22"/>
          <w:szCs w:val="22"/>
        </w:rPr>
        <w:t>archaeologically-recovered</w:t>
      </w:r>
      <w:r w:rsidR="00587AF1" w:rsidRPr="00587AF1">
        <w:rPr>
          <w:rFonts w:ascii="Arial" w:hAnsi="Arial" w:cs="Arial"/>
          <w:sz w:val="22"/>
          <w:szCs w:val="22"/>
        </w:rPr>
        <w:t xml:space="preserve"> </w:t>
      </w:r>
      <w:r w:rsidR="006B577C">
        <w:rPr>
          <w:rFonts w:ascii="Arial" w:hAnsi="Arial" w:cs="Arial"/>
          <w:sz w:val="22"/>
          <w:szCs w:val="22"/>
        </w:rPr>
        <w:t>coin assemblages</w:t>
      </w:r>
      <w:r w:rsidR="00E5162B">
        <w:rPr>
          <w:rFonts w:ascii="Arial" w:hAnsi="Arial" w:cs="Arial"/>
          <w:sz w:val="22"/>
          <w:szCs w:val="22"/>
        </w:rPr>
        <w:t xml:space="preserve"> (though </w:t>
      </w:r>
      <w:r w:rsidR="00587AF1">
        <w:rPr>
          <w:rFonts w:ascii="Arial" w:hAnsi="Arial" w:cs="Arial"/>
          <w:sz w:val="22"/>
          <w:szCs w:val="22"/>
        </w:rPr>
        <w:t xml:space="preserve">it </w:t>
      </w:r>
      <w:r w:rsidR="00286FD0">
        <w:rPr>
          <w:rFonts w:ascii="Arial" w:hAnsi="Arial" w:cs="Arial"/>
          <w:sz w:val="22"/>
          <w:szCs w:val="22"/>
        </w:rPr>
        <w:t>could be developed for the</w:t>
      </w:r>
      <w:r w:rsidR="00587AF1">
        <w:rPr>
          <w:rFonts w:ascii="Arial" w:hAnsi="Arial" w:cs="Arial"/>
          <w:sz w:val="22"/>
          <w:szCs w:val="22"/>
        </w:rPr>
        <w:t xml:space="preserve"> reporting o</w:t>
      </w:r>
      <w:r w:rsidR="00E5162B">
        <w:rPr>
          <w:rFonts w:ascii="Arial" w:hAnsi="Arial" w:cs="Arial"/>
          <w:sz w:val="22"/>
          <w:szCs w:val="22"/>
        </w:rPr>
        <w:t>f</w:t>
      </w:r>
      <w:r w:rsidR="00587AF1">
        <w:rPr>
          <w:rFonts w:ascii="Arial" w:hAnsi="Arial" w:cs="Arial"/>
          <w:sz w:val="22"/>
          <w:szCs w:val="22"/>
        </w:rPr>
        <w:t xml:space="preserve"> other coin finds too</w:t>
      </w:r>
      <w:r w:rsidR="00E5162B">
        <w:rPr>
          <w:rFonts w:ascii="Arial" w:hAnsi="Arial" w:cs="Arial"/>
          <w:sz w:val="22"/>
          <w:szCs w:val="22"/>
        </w:rPr>
        <w:t xml:space="preserve">, for </w:t>
      </w:r>
      <w:r w:rsidR="00587AF1">
        <w:rPr>
          <w:rFonts w:ascii="Arial" w:hAnsi="Arial" w:cs="Arial"/>
          <w:sz w:val="22"/>
          <w:szCs w:val="22"/>
        </w:rPr>
        <w:t>example hoards and single</w:t>
      </w:r>
      <w:r w:rsidR="00286FD0">
        <w:rPr>
          <w:rFonts w:ascii="Arial" w:hAnsi="Arial" w:cs="Arial"/>
          <w:sz w:val="22"/>
          <w:szCs w:val="22"/>
        </w:rPr>
        <w:t xml:space="preserve"> </w:t>
      </w:r>
      <w:r w:rsidR="00587AF1">
        <w:rPr>
          <w:rFonts w:ascii="Arial" w:hAnsi="Arial" w:cs="Arial"/>
          <w:sz w:val="22"/>
          <w:szCs w:val="22"/>
        </w:rPr>
        <w:t>finds</w:t>
      </w:r>
      <w:r w:rsidR="00286FD0">
        <w:rPr>
          <w:rFonts w:ascii="Arial" w:hAnsi="Arial" w:cs="Arial"/>
          <w:sz w:val="22"/>
          <w:szCs w:val="22"/>
        </w:rPr>
        <w:t xml:space="preserve"> including those recovered by metal detector)</w:t>
      </w:r>
      <w:r w:rsidR="00587AF1" w:rsidRPr="00587AF1">
        <w:rPr>
          <w:rFonts w:ascii="Arial" w:hAnsi="Arial" w:cs="Arial"/>
          <w:sz w:val="22"/>
          <w:szCs w:val="22"/>
        </w:rPr>
        <w:t>.</w:t>
      </w:r>
    </w:p>
    <w:p w14:paraId="55B4A3D0" w14:textId="3B9DBB66" w:rsidR="00587AF1" w:rsidRDefault="00587AF1" w:rsidP="006B5C66">
      <w:pPr>
        <w:rPr>
          <w:rFonts w:ascii="Arial" w:hAnsi="Arial" w:cs="Arial"/>
          <w:bCs/>
          <w:sz w:val="22"/>
          <w:szCs w:val="22"/>
        </w:rPr>
      </w:pPr>
    </w:p>
    <w:p w14:paraId="2D2B1EC8" w14:textId="3FEF69BE" w:rsidR="00783CBF" w:rsidRDefault="00783CBF" w:rsidP="006B5C66">
      <w:pPr>
        <w:jc w:val="both"/>
        <w:rPr>
          <w:rFonts w:ascii="Arial" w:hAnsi="Arial" w:cs="Arial"/>
          <w:sz w:val="22"/>
          <w:szCs w:val="22"/>
        </w:rPr>
      </w:pPr>
      <w:r w:rsidRPr="00783CBF">
        <w:rPr>
          <w:rFonts w:ascii="Arial" w:hAnsi="Arial" w:cs="Arial"/>
          <w:bCs/>
          <w:sz w:val="22"/>
          <w:szCs w:val="22"/>
        </w:rPr>
        <w:t xml:space="preserve">The Toolkit is a guide </w:t>
      </w:r>
      <w:r w:rsidRPr="00783CBF">
        <w:rPr>
          <w:rFonts w:ascii="Arial" w:hAnsi="Arial" w:cs="Arial"/>
          <w:sz w:val="22"/>
          <w:szCs w:val="22"/>
        </w:rPr>
        <w:t xml:space="preserve">to the reliable and consistent reporting of </w:t>
      </w:r>
      <w:r>
        <w:rPr>
          <w:rFonts w:ascii="Arial" w:hAnsi="Arial" w:cs="Arial"/>
          <w:sz w:val="22"/>
          <w:szCs w:val="22"/>
        </w:rPr>
        <w:t xml:space="preserve">archaeologically-recovered </w:t>
      </w:r>
      <w:r w:rsidRPr="00783CBF">
        <w:rPr>
          <w:rFonts w:ascii="Arial" w:hAnsi="Arial" w:cs="Arial"/>
          <w:sz w:val="22"/>
          <w:szCs w:val="22"/>
        </w:rPr>
        <w:t>Roman coins</w:t>
      </w:r>
      <w:r w:rsidR="001B446E">
        <w:rPr>
          <w:rFonts w:ascii="Arial" w:hAnsi="Arial" w:cs="Arial"/>
          <w:sz w:val="22"/>
          <w:szCs w:val="22"/>
        </w:rPr>
        <w:t xml:space="preserve"> (commonly known as </w:t>
      </w:r>
      <w:r w:rsidR="001B446E" w:rsidRPr="00BE0843">
        <w:rPr>
          <w:rFonts w:ascii="Arial" w:hAnsi="Arial" w:cs="Arial"/>
          <w:b/>
          <w:bCs/>
          <w:sz w:val="22"/>
          <w:szCs w:val="22"/>
        </w:rPr>
        <w:t>site</w:t>
      </w:r>
      <w:r w:rsidR="00305B64" w:rsidRPr="00BE0843">
        <w:rPr>
          <w:rFonts w:ascii="Arial" w:hAnsi="Arial" w:cs="Arial"/>
          <w:b/>
          <w:bCs/>
          <w:sz w:val="22"/>
          <w:szCs w:val="22"/>
        </w:rPr>
        <w:t>-</w:t>
      </w:r>
      <w:r w:rsidR="001B446E" w:rsidRPr="00BE0843">
        <w:rPr>
          <w:rFonts w:ascii="Arial" w:hAnsi="Arial" w:cs="Arial"/>
          <w:b/>
          <w:bCs/>
          <w:sz w:val="22"/>
          <w:szCs w:val="22"/>
        </w:rPr>
        <w:t>finds</w:t>
      </w:r>
      <w:r w:rsidR="001B446E">
        <w:rPr>
          <w:rFonts w:ascii="Arial" w:hAnsi="Arial" w:cs="Arial"/>
          <w:sz w:val="22"/>
          <w:szCs w:val="22"/>
        </w:rPr>
        <w:t>)</w:t>
      </w:r>
      <w:r>
        <w:rPr>
          <w:rFonts w:ascii="Arial" w:hAnsi="Arial" w:cs="Arial"/>
          <w:sz w:val="22"/>
          <w:szCs w:val="22"/>
        </w:rPr>
        <w:t xml:space="preserve">. </w:t>
      </w:r>
      <w:r w:rsidR="00435B07">
        <w:rPr>
          <w:rFonts w:ascii="Arial" w:hAnsi="Arial" w:cs="Arial"/>
          <w:sz w:val="22"/>
          <w:szCs w:val="22"/>
        </w:rPr>
        <w:t>I</w:t>
      </w:r>
      <w:r>
        <w:rPr>
          <w:rFonts w:ascii="Arial" w:hAnsi="Arial" w:cs="Arial"/>
          <w:sz w:val="22"/>
          <w:szCs w:val="22"/>
        </w:rPr>
        <w:t xml:space="preserve">t is not </w:t>
      </w:r>
      <w:r w:rsidR="007E1CA8">
        <w:rPr>
          <w:rFonts w:ascii="Arial" w:hAnsi="Arial" w:cs="Arial"/>
          <w:sz w:val="22"/>
          <w:szCs w:val="22"/>
        </w:rPr>
        <w:t>the intention</w:t>
      </w:r>
      <w:r>
        <w:rPr>
          <w:rFonts w:ascii="Arial" w:hAnsi="Arial" w:cs="Arial"/>
          <w:sz w:val="22"/>
          <w:szCs w:val="22"/>
        </w:rPr>
        <w:t xml:space="preserve"> to </w:t>
      </w:r>
      <w:r w:rsidR="00D361DC">
        <w:rPr>
          <w:rFonts w:ascii="Arial" w:hAnsi="Arial" w:cs="Arial"/>
          <w:sz w:val="22"/>
          <w:szCs w:val="22"/>
        </w:rPr>
        <w:t xml:space="preserve">dictate how </w:t>
      </w:r>
      <w:r w:rsidR="004B599D">
        <w:rPr>
          <w:rFonts w:ascii="Arial" w:hAnsi="Arial" w:cs="Arial"/>
          <w:sz w:val="22"/>
          <w:szCs w:val="22"/>
        </w:rPr>
        <w:t>the analytical process</w:t>
      </w:r>
      <w:r w:rsidR="00D361DC">
        <w:rPr>
          <w:rFonts w:ascii="Arial" w:hAnsi="Arial" w:cs="Arial"/>
          <w:sz w:val="22"/>
          <w:szCs w:val="22"/>
        </w:rPr>
        <w:t xml:space="preserve"> should take place</w:t>
      </w:r>
      <w:r w:rsidR="007E1CA8">
        <w:rPr>
          <w:rFonts w:ascii="Arial" w:hAnsi="Arial" w:cs="Arial"/>
          <w:sz w:val="22"/>
          <w:szCs w:val="22"/>
        </w:rPr>
        <w:t xml:space="preserve"> as</w:t>
      </w:r>
      <w:r w:rsidR="00D361DC">
        <w:rPr>
          <w:rFonts w:ascii="Arial" w:hAnsi="Arial" w:cs="Arial"/>
          <w:sz w:val="22"/>
          <w:szCs w:val="22"/>
        </w:rPr>
        <w:t xml:space="preserve"> </w:t>
      </w:r>
      <w:r w:rsidR="004B599D">
        <w:rPr>
          <w:rFonts w:ascii="Arial" w:hAnsi="Arial" w:cs="Arial"/>
          <w:sz w:val="22"/>
          <w:szCs w:val="22"/>
        </w:rPr>
        <w:t xml:space="preserve">this will </w:t>
      </w:r>
      <w:r w:rsidR="00D361DC">
        <w:rPr>
          <w:rFonts w:ascii="Arial" w:hAnsi="Arial" w:cs="Arial"/>
          <w:sz w:val="22"/>
          <w:szCs w:val="22"/>
        </w:rPr>
        <w:t xml:space="preserve">depend on </w:t>
      </w:r>
      <w:r w:rsidR="0061025C">
        <w:rPr>
          <w:rFonts w:ascii="Arial" w:hAnsi="Arial" w:cs="Arial"/>
          <w:sz w:val="22"/>
          <w:szCs w:val="22"/>
        </w:rPr>
        <w:t xml:space="preserve">a combination of </w:t>
      </w:r>
      <w:r w:rsidR="00D361DC">
        <w:rPr>
          <w:rFonts w:ascii="Arial" w:hAnsi="Arial" w:cs="Arial"/>
          <w:sz w:val="22"/>
          <w:szCs w:val="22"/>
        </w:rPr>
        <w:t>variables</w:t>
      </w:r>
      <w:r w:rsidR="0061025C">
        <w:rPr>
          <w:rFonts w:ascii="Arial" w:hAnsi="Arial" w:cs="Arial"/>
          <w:sz w:val="22"/>
          <w:szCs w:val="22"/>
        </w:rPr>
        <w:t xml:space="preserve"> </w:t>
      </w:r>
      <w:r w:rsidR="007E1CA8">
        <w:rPr>
          <w:rFonts w:ascii="Arial" w:hAnsi="Arial" w:cs="Arial"/>
          <w:sz w:val="22"/>
          <w:szCs w:val="22"/>
        </w:rPr>
        <w:t xml:space="preserve">that </w:t>
      </w:r>
      <w:r w:rsidR="00D361DC">
        <w:rPr>
          <w:rFonts w:ascii="Arial" w:hAnsi="Arial" w:cs="Arial"/>
          <w:sz w:val="22"/>
          <w:szCs w:val="22"/>
        </w:rPr>
        <w:t xml:space="preserve">affect </w:t>
      </w:r>
      <w:r w:rsidR="007E1CA8">
        <w:rPr>
          <w:rFonts w:ascii="Arial" w:hAnsi="Arial" w:cs="Arial"/>
          <w:sz w:val="22"/>
          <w:szCs w:val="22"/>
        </w:rPr>
        <w:t>the feasible</w:t>
      </w:r>
      <w:r w:rsidR="00D361DC">
        <w:rPr>
          <w:rFonts w:ascii="Arial" w:hAnsi="Arial" w:cs="Arial"/>
          <w:sz w:val="22"/>
          <w:szCs w:val="22"/>
        </w:rPr>
        <w:t xml:space="preserve"> level of analysis (e.g., type of archaeological project, size </w:t>
      </w:r>
      <w:r w:rsidR="00524A7D">
        <w:rPr>
          <w:rFonts w:ascii="Arial" w:hAnsi="Arial" w:cs="Arial"/>
          <w:sz w:val="22"/>
          <w:szCs w:val="22"/>
        </w:rPr>
        <w:t xml:space="preserve">and condition </w:t>
      </w:r>
      <w:r w:rsidR="00D361DC">
        <w:rPr>
          <w:rFonts w:ascii="Arial" w:hAnsi="Arial" w:cs="Arial"/>
          <w:sz w:val="22"/>
          <w:szCs w:val="22"/>
        </w:rPr>
        <w:t xml:space="preserve">of </w:t>
      </w:r>
      <w:r w:rsidR="00524A7D">
        <w:rPr>
          <w:rFonts w:ascii="Arial" w:hAnsi="Arial" w:cs="Arial"/>
          <w:sz w:val="22"/>
          <w:szCs w:val="22"/>
        </w:rPr>
        <w:t xml:space="preserve">the </w:t>
      </w:r>
      <w:r w:rsidR="00D361DC">
        <w:rPr>
          <w:rFonts w:ascii="Arial" w:hAnsi="Arial" w:cs="Arial"/>
          <w:sz w:val="22"/>
          <w:szCs w:val="22"/>
        </w:rPr>
        <w:t xml:space="preserve">coin assemblage, nature of the excavated </w:t>
      </w:r>
      <w:r w:rsidR="00C467DC">
        <w:rPr>
          <w:rFonts w:ascii="Arial" w:hAnsi="Arial" w:cs="Arial"/>
          <w:sz w:val="22"/>
          <w:szCs w:val="22"/>
        </w:rPr>
        <w:t>remains</w:t>
      </w:r>
      <w:r w:rsidR="00D361DC">
        <w:rPr>
          <w:rFonts w:ascii="Arial" w:hAnsi="Arial" w:cs="Arial"/>
          <w:sz w:val="22"/>
          <w:szCs w:val="22"/>
        </w:rPr>
        <w:t>, etc</w:t>
      </w:r>
      <w:r w:rsidR="000218BE">
        <w:rPr>
          <w:rFonts w:ascii="Arial" w:hAnsi="Arial" w:cs="Arial"/>
          <w:sz w:val="22"/>
          <w:szCs w:val="22"/>
        </w:rPr>
        <w:t>)</w:t>
      </w:r>
      <w:r w:rsidR="00C467DC">
        <w:rPr>
          <w:rFonts w:ascii="Arial" w:hAnsi="Arial" w:cs="Arial"/>
          <w:sz w:val="22"/>
          <w:szCs w:val="22"/>
        </w:rPr>
        <w:t>.</w:t>
      </w:r>
      <w:r w:rsidR="00435B07">
        <w:rPr>
          <w:rFonts w:ascii="Arial" w:hAnsi="Arial" w:cs="Arial"/>
          <w:sz w:val="22"/>
          <w:szCs w:val="22"/>
        </w:rPr>
        <w:t xml:space="preserve"> </w:t>
      </w:r>
      <w:r w:rsidR="0061025C">
        <w:rPr>
          <w:rFonts w:ascii="Arial" w:hAnsi="Arial" w:cs="Arial"/>
          <w:sz w:val="22"/>
          <w:szCs w:val="22"/>
        </w:rPr>
        <w:t>T</w:t>
      </w:r>
      <w:r w:rsidR="00D361DC">
        <w:rPr>
          <w:rFonts w:ascii="Arial" w:hAnsi="Arial" w:cs="Arial"/>
          <w:sz w:val="22"/>
          <w:szCs w:val="22"/>
        </w:rPr>
        <w:t xml:space="preserve">he </w:t>
      </w:r>
      <w:bookmarkStart w:id="1" w:name="_Hlk95406056"/>
      <w:r w:rsidR="00611E77">
        <w:rPr>
          <w:rFonts w:ascii="Arial" w:hAnsi="Arial" w:cs="Arial"/>
          <w:sz w:val="22"/>
          <w:szCs w:val="22"/>
        </w:rPr>
        <w:t>standardised identification and quantification</w:t>
      </w:r>
      <w:r w:rsidR="00D361DC">
        <w:rPr>
          <w:rFonts w:ascii="Arial" w:hAnsi="Arial" w:cs="Arial"/>
          <w:sz w:val="22"/>
          <w:szCs w:val="22"/>
        </w:rPr>
        <w:t xml:space="preserve"> of Roman coins</w:t>
      </w:r>
      <w:r w:rsidR="00264C3E">
        <w:rPr>
          <w:rFonts w:ascii="Arial" w:hAnsi="Arial" w:cs="Arial"/>
          <w:sz w:val="22"/>
          <w:szCs w:val="22"/>
        </w:rPr>
        <w:t xml:space="preserve"> are</w:t>
      </w:r>
      <w:r w:rsidR="007E1CA8">
        <w:rPr>
          <w:rFonts w:ascii="Arial" w:hAnsi="Arial" w:cs="Arial"/>
          <w:sz w:val="22"/>
          <w:szCs w:val="22"/>
        </w:rPr>
        <w:t>, however,</w:t>
      </w:r>
      <w:r w:rsidR="00D361DC">
        <w:rPr>
          <w:rFonts w:ascii="Arial" w:hAnsi="Arial" w:cs="Arial"/>
          <w:sz w:val="22"/>
          <w:szCs w:val="22"/>
        </w:rPr>
        <w:t xml:space="preserve"> </w:t>
      </w:r>
      <w:bookmarkEnd w:id="1"/>
      <w:r w:rsidR="00D361DC">
        <w:rPr>
          <w:rFonts w:ascii="Arial" w:hAnsi="Arial" w:cs="Arial"/>
          <w:sz w:val="22"/>
          <w:szCs w:val="22"/>
        </w:rPr>
        <w:t>the necessary first step</w:t>
      </w:r>
      <w:r w:rsidR="00611E77">
        <w:rPr>
          <w:rFonts w:ascii="Arial" w:hAnsi="Arial" w:cs="Arial"/>
          <w:sz w:val="22"/>
          <w:szCs w:val="22"/>
        </w:rPr>
        <w:t>s</w:t>
      </w:r>
      <w:r w:rsidR="00D361DC">
        <w:rPr>
          <w:rFonts w:ascii="Arial" w:hAnsi="Arial" w:cs="Arial"/>
          <w:sz w:val="22"/>
          <w:szCs w:val="22"/>
        </w:rPr>
        <w:t xml:space="preserve"> towards </w:t>
      </w:r>
      <w:r w:rsidR="005430AC">
        <w:rPr>
          <w:rFonts w:ascii="Arial" w:hAnsi="Arial" w:cs="Arial"/>
          <w:sz w:val="22"/>
          <w:szCs w:val="22"/>
        </w:rPr>
        <w:t xml:space="preserve">the </w:t>
      </w:r>
      <w:r w:rsidR="007675FA">
        <w:rPr>
          <w:rFonts w:ascii="Arial" w:hAnsi="Arial" w:cs="Arial"/>
          <w:sz w:val="22"/>
          <w:szCs w:val="22"/>
        </w:rPr>
        <w:t xml:space="preserve">integrated, informative and </w:t>
      </w:r>
      <w:r w:rsidR="00D361DC">
        <w:rPr>
          <w:rFonts w:ascii="Arial" w:hAnsi="Arial" w:cs="Arial"/>
          <w:sz w:val="22"/>
          <w:szCs w:val="22"/>
        </w:rPr>
        <w:t>meaningful</w:t>
      </w:r>
      <w:r w:rsidR="007675FA">
        <w:rPr>
          <w:rFonts w:ascii="Arial" w:hAnsi="Arial" w:cs="Arial"/>
          <w:sz w:val="22"/>
          <w:szCs w:val="22"/>
        </w:rPr>
        <w:t xml:space="preserve"> a</w:t>
      </w:r>
      <w:r w:rsidR="00D361DC">
        <w:rPr>
          <w:rFonts w:ascii="Arial" w:hAnsi="Arial" w:cs="Arial"/>
          <w:sz w:val="22"/>
          <w:szCs w:val="22"/>
        </w:rPr>
        <w:t xml:space="preserve">nalysis of these important </w:t>
      </w:r>
      <w:r w:rsidR="00524A7D">
        <w:rPr>
          <w:rFonts w:ascii="Arial" w:hAnsi="Arial" w:cs="Arial"/>
          <w:sz w:val="22"/>
          <w:szCs w:val="22"/>
        </w:rPr>
        <w:t>artefacts</w:t>
      </w:r>
      <w:r w:rsidR="00D361DC">
        <w:rPr>
          <w:rFonts w:ascii="Arial" w:hAnsi="Arial" w:cs="Arial"/>
          <w:sz w:val="22"/>
          <w:szCs w:val="22"/>
        </w:rPr>
        <w:t xml:space="preserve"> as archaeological </w:t>
      </w:r>
      <w:r w:rsidR="00524A7D">
        <w:rPr>
          <w:rFonts w:ascii="Arial" w:hAnsi="Arial" w:cs="Arial"/>
          <w:sz w:val="22"/>
          <w:szCs w:val="22"/>
        </w:rPr>
        <w:t>finds</w:t>
      </w:r>
      <w:r w:rsidR="00611E77">
        <w:rPr>
          <w:rFonts w:ascii="Arial" w:hAnsi="Arial" w:cs="Arial"/>
          <w:sz w:val="22"/>
          <w:szCs w:val="22"/>
        </w:rPr>
        <w:t>.</w:t>
      </w:r>
    </w:p>
    <w:p w14:paraId="395ACD59" w14:textId="77777777" w:rsidR="00611E77" w:rsidRPr="00611E77" w:rsidRDefault="00611E77" w:rsidP="006B5C66">
      <w:pPr>
        <w:jc w:val="both"/>
        <w:rPr>
          <w:rFonts w:ascii="Arial" w:hAnsi="Arial" w:cs="Arial"/>
          <w:sz w:val="22"/>
          <w:szCs w:val="22"/>
        </w:rPr>
      </w:pPr>
    </w:p>
    <w:p w14:paraId="3E1946BA" w14:textId="77777777" w:rsidR="00BE0843" w:rsidRDefault="00524A7D" w:rsidP="006B5C66">
      <w:pPr>
        <w:jc w:val="both"/>
        <w:rPr>
          <w:rFonts w:ascii="Arial" w:hAnsi="Arial" w:cs="Arial"/>
          <w:sz w:val="22"/>
          <w:szCs w:val="22"/>
        </w:rPr>
      </w:pPr>
      <w:r w:rsidRPr="00524A7D">
        <w:rPr>
          <w:rFonts w:ascii="Arial" w:hAnsi="Arial" w:cs="Arial"/>
          <w:bCs/>
          <w:sz w:val="22"/>
          <w:szCs w:val="22"/>
        </w:rPr>
        <w:t xml:space="preserve">Following the </w:t>
      </w:r>
      <w:hyperlink r:id="rId5" w:history="1">
        <w:r w:rsidRPr="00CD2D45">
          <w:rPr>
            <w:rStyle w:val="Hyperlink"/>
            <w:rFonts w:ascii="Arial" w:hAnsi="Arial" w:cs="Arial"/>
            <w:bCs/>
            <w:sz w:val="22"/>
            <w:szCs w:val="22"/>
          </w:rPr>
          <w:t xml:space="preserve">FAIR </w:t>
        </w:r>
        <w:r w:rsidR="00341B1D">
          <w:rPr>
            <w:rStyle w:val="Hyperlink"/>
            <w:rFonts w:ascii="Arial" w:hAnsi="Arial" w:cs="Arial"/>
            <w:bCs/>
            <w:sz w:val="22"/>
            <w:szCs w:val="22"/>
          </w:rPr>
          <w:t>Guiding P</w:t>
        </w:r>
        <w:r w:rsidRPr="00CD2D45">
          <w:rPr>
            <w:rStyle w:val="Hyperlink"/>
            <w:rFonts w:ascii="Arial" w:hAnsi="Arial" w:cs="Arial"/>
            <w:bCs/>
            <w:sz w:val="22"/>
            <w:szCs w:val="22"/>
          </w:rPr>
          <w:t>rinciples</w:t>
        </w:r>
      </w:hyperlink>
      <w:r w:rsidRPr="00524A7D">
        <w:rPr>
          <w:rFonts w:ascii="Arial" w:hAnsi="Arial" w:cs="Arial"/>
          <w:bCs/>
          <w:sz w:val="22"/>
          <w:szCs w:val="22"/>
        </w:rPr>
        <w:t xml:space="preserve"> (</w:t>
      </w:r>
      <w:r w:rsidRPr="00524A7D">
        <w:rPr>
          <w:rStyle w:val="Strong"/>
          <w:rFonts w:ascii="Arial" w:hAnsi="Arial" w:cs="Arial"/>
          <w:sz w:val="22"/>
          <w:szCs w:val="22"/>
        </w:rPr>
        <w:t>F</w:t>
      </w:r>
      <w:r w:rsidRPr="00524A7D">
        <w:rPr>
          <w:rFonts w:ascii="Arial" w:hAnsi="Arial" w:cs="Arial"/>
          <w:sz w:val="22"/>
          <w:szCs w:val="22"/>
        </w:rPr>
        <w:t xml:space="preserve">indability, </w:t>
      </w:r>
      <w:r w:rsidRPr="00524A7D">
        <w:rPr>
          <w:rStyle w:val="Strong"/>
          <w:rFonts w:ascii="Arial" w:hAnsi="Arial" w:cs="Arial"/>
          <w:sz w:val="22"/>
          <w:szCs w:val="22"/>
        </w:rPr>
        <w:t>A</w:t>
      </w:r>
      <w:r w:rsidRPr="00524A7D">
        <w:rPr>
          <w:rFonts w:ascii="Arial" w:hAnsi="Arial" w:cs="Arial"/>
          <w:sz w:val="22"/>
          <w:szCs w:val="22"/>
        </w:rPr>
        <w:t xml:space="preserve">ccessibility, </w:t>
      </w:r>
      <w:r w:rsidRPr="00524A7D">
        <w:rPr>
          <w:rStyle w:val="Strong"/>
          <w:rFonts w:ascii="Arial" w:hAnsi="Arial" w:cs="Arial"/>
          <w:sz w:val="22"/>
          <w:szCs w:val="22"/>
        </w:rPr>
        <w:t>I</w:t>
      </w:r>
      <w:r w:rsidRPr="00524A7D">
        <w:rPr>
          <w:rFonts w:ascii="Arial" w:hAnsi="Arial" w:cs="Arial"/>
          <w:sz w:val="22"/>
          <w:szCs w:val="22"/>
        </w:rPr>
        <w:t xml:space="preserve">nteroperability, and </w:t>
      </w:r>
      <w:r w:rsidRPr="00524A7D">
        <w:rPr>
          <w:rStyle w:val="Strong"/>
          <w:rFonts w:ascii="Arial" w:hAnsi="Arial" w:cs="Arial"/>
          <w:sz w:val="22"/>
          <w:szCs w:val="22"/>
        </w:rPr>
        <w:t>R</w:t>
      </w:r>
      <w:r w:rsidRPr="00524A7D">
        <w:rPr>
          <w:rFonts w:ascii="Arial" w:hAnsi="Arial" w:cs="Arial"/>
          <w:sz w:val="22"/>
          <w:szCs w:val="22"/>
        </w:rPr>
        <w:t>euse of digital assets</w:t>
      </w:r>
      <w:r>
        <w:rPr>
          <w:rFonts w:ascii="Arial" w:hAnsi="Arial" w:cs="Arial"/>
          <w:sz w:val="22"/>
          <w:szCs w:val="22"/>
        </w:rPr>
        <w:t xml:space="preserve">), this Toolkit </w:t>
      </w:r>
      <w:r w:rsidR="006608C7">
        <w:rPr>
          <w:rFonts w:ascii="Arial" w:hAnsi="Arial" w:cs="Arial"/>
          <w:sz w:val="22"/>
          <w:szCs w:val="22"/>
        </w:rPr>
        <w:t>establishes the archaeological standard for the reporting of Roman coins.</w:t>
      </w:r>
    </w:p>
    <w:p w14:paraId="25FE1A2F" w14:textId="77777777" w:rsidR="00BE0843" w:rsidRDefault="00BE0843" w:rsidP="006B5C66">
      <w:pPr>
        <w:jc w:val="both"/>
        <w:rPr>
          <w:rFonts w:ascii="Arial" w:hAnsi="Arial" w:cs="Arial"/>
          <w:sz w:val="22"/>
          <w:szCs w:val="22"/>
        </w:rPr>
      </w:pPr>
    </w:p>
    <w:p w14:paraId="1ADA0CB3" w14:textId="6ABB1413" w:rsidR="00C92EC3" w:rsidRDefault="006608C7" w:rsidP="006B5C66">
      <w:pPr>
        <w:jc w:val="both"/>
        <w:rPr>
          <w:rFonts w:ascii="Arial" w:hAnsi="Arial" w:cs="Arial"/>
          <w:sz w:val="22"/>
          <w:szCs w:val="22"/>
        </w:rPr>
      </w:pPr>
      <w:r>
        <w:rPr>
          <w:rFonts w:ascii="Arial" w:hAnsi="Arial" w:cs="Arial"/>
          <w:sz w:val="22"/>
          <w:szCs w:val="22"/>
        </w:rPr>
        <w:t>Identification and reporting of Roman coins should be undertaken by a specialist</w:t>
      </w:r>
      <w:r w:rsidR="006B5684">
        <w:rPr>
          <w:rFonts w:ascii="Arial" w:hAnsi="Arial" w:cs="Arial"/>
          <w:sz w:val="22"/>
          <w:szCs w:val="22"/>
        </w:rPr>
        <w:t>,</w:t>
      </w:r>
      <w:r>
        <w:rPr>
          <w:rFonts w:ascii="Arial" w:hAnsi="Arial" w:cs="Arial"/>
          <w:sz w:val="22"/>
          <w:szCs w:val="22"/>
        </w:rPr>
        <w:t xml:space="preserve"> or specialists</w:t>
      </w:r>
      <w:r w:rsidR="006B5684">
        <w:rPr>
          <w:rFonts w:ascii="Arial" w:hAnsi="Arial" w:cs="Arial"/>
          <w:sz w:val="22"/>
          <w:szCs w:val="22"/>
        </w:rPr>
        <w:t>,</w:t>
      </w:r>
      <w:r>
        <w:rPr>
          <w:rFonts w:ascii="Arial" w:hAnsi="Arial" w:cs="Arial"/>
          <w:sz w:val="22"/>
          <w:szCs w:val="22"/>
        </w:rPr>
        <w:t xml:space="preserve"> </w:t>
      </w:r>
      <w:r w:rsidR="006B5684">
        <w:rPr>
          <w:rFonts w:ascii="Arial" w:hAnsi="Arial" w:cs="Arial"/>
          <w:sz w:val="22"/>
          <w:szCs w:val="22"/>
        </w:rPr>
        <w:t xml:space="preserve">with </w:t>
      </w:r>
      <w:r w:rsidR="00EF4E79">
        <w:rPr>
          <w:rFonts w:ascii="Arial" w:hAnsi="Arial" w:cs="Arial"/>
          <w:sz w:val="22"/>
          <w:szCs w:val="22"/>
        </w:rPr>
        <w:t>experience of</w:t>
      </w:r>
      <w:r w:rsidR="006B5684">
        <w:rPr>
          <w:rFonts w:ascii="Arial" w:hAnsi="Arial" w:cs="Arial"/>
          <w:sz w:val="22"/>
          <w:szCs w:val="22"/>
        </w:rPr>
        <w:t xml:space="preserve"> archaeology and numismatics.</w:t>
      </w:r>
    </w:p>
    <w:p w14:paraId="64E2E678" w14:textId="6FB073D7" w:rsidR="00DD1FA9" w:rsidRDefault="00DD1FA9" w:rsidP="006B5C66">
      <w:pPr>
        <w:jc w:val="both"/>
        <w:rPr>
          <w:rFonts w:ascii="Arial" w:hAnsi="Arial" w:cs="Arial"/>
          <w:sz w:val="22"/>
          <w:szCs w:val="22"/>
        </w:rPr>
      </w:pPr>
    </w:p>
    <w:p w14:paraId="71C92827" w14:textId="06A1BADC" w:rsidR="00DD1FA9" w:rsidRPr="00160FE0" w:rsidRDefault="00DD1FA9" w:rsidP="00DD1FA9">
      <w:pPr>
        <w:jc w:val="both"/>
        <w:rPr>
          <w:rFonts w:ascii="Arial" w:hAnsi="Arial" w:cs="Arial"/>
          <w:color w:val="000000"/>
          <w:sz w:val="22"/>
          <w:szCs w:val="22"/>
        </w:rPr>
      </w:pPr>
      <w:r>
        <w:rPr>
          <w:rFonts w:ascii="Arial" w:hAnsi="Arial" w:cs="Arial"/>
          <w:color w:val="000000"/>
          <w:sz w:val="22"/>
          <w:szCs w:val="22"/>
        </w:rPr>
        <w:t xml:space="preserve">Specialists who are able to bring together knowledge and expertise from both of these disciplines should be distinguished from their ‘pure’ numismatic and archaeological colleagues. Instead of ‘coin specialist’ or ‘applied numismatist’, a </w:t>
      </w:r>
      <w:r w:rsidR="0062320C">
        <w:rPr>
          <w:rFonts w:ascii="Arial" w:hAnsi="Arial" w:cs="Arial"/>
          <w:color w:val="000000"/>
          <w:sz w:val="22"/>
          <w:szCs w:val="22"/>
        </w:rPr>
        <w:t xml:space="preserve">less ambiguous title for such specialists </w:t>
      </w:r>
      <w:r>
        <w:rPr>
          <w:rFonts w:ascii="Arial" w:hAnsi="Arial" w:cs="Arial"/>
          <w:color w:val="000000"/>
          <w:sz w:val="22"/>
          <w:szCs w:val="22"/>
        </w:rPr>
        <w:t xml:space="preserve">is </w:t>
      </w:r>
      <w:r w:rsidRPr="00DD1FA9">
        <w:rPr>
          <w:rFonts w:ascii="Arial" w:hAnsi="Arial" w:cs="Arial"/>
          <w:b/>
          <w:bCs/>
          <w:color w:val="000000"/>
          <w:sz w:val="22"/>
          <w:szCs w:val="22"/>
        </w:rPr>
        <w:t>archaeological numismatist</w:t>
      </w:r>
      <w:r>
        <w:rPr>
          <w:rFonts w:ascii="Arial" w:hAnsi="Arial" w:cs="Arial"/>
          <w:color w:val="000000"/>
          <w:sz w:val="22"/>
          <w:szCs w:val="22"/>
        </w:rPr>
        <w:t>.</w:t>
      </w:r>
    </w:p>
    <w:p w14:paraId="5F58EEAC" w14:textId="77777777" w:rsidR="00DD1FA9" w:rsidRDefault="00DD1FA9" w:rsidP="006B5C66">
      <w:pPr>
        <w:jc w:val="both"/>
        <w:rPr>
          <w:rFonts w:ascii="Arial" w:hAnsi="Arial" w:cs="Arial"/>
          <w:sz w:val="22"/>
          <w:szCs w:val="22"/>
        </w:rPr>
      </w:pPr>
    </w:p>
    <w:p w14:paraId="4A83760B" w14:textId="31E5FFEF" w:rsidR="00C92EC3" w:rsidRDefault="007310DF" w:rsidP="006B5C66">
      <w:pPr>
        <w:jc w:val="both"/>
        <w:rPr>
          <w:rFonts w:ascii="Arial" w:hAnsi="Arial" w:cs="Arial"/>
          <w:sz w:val="22"/>
          <w:szCs w:val="22"/>
        </w:rPr>
      </w:pPr>
      <w:r>
        <w:rPr>
          <w:rFonts w:ascii="Arial" w:hAnsi="Arial" w:cs="Arial"/>
          <w:sz w:val="22"/>
          <w:szCs w:val="22"/>
        </w:rPr>
        <w:t>A</w:t>
      </w:r>
      <w:r w:rsidR="00BB0853">
        <w:rPr>
          <w:rFonts w:ascii="Arial" w:hAnsi="Arial" w:cs="Arial"/>
          <w:sz w:val="22"/>
          <w:szCs w:val="22"/>
        </w:rPr>
        <w:t>n archaeological ‘</w:t>
      </w:r>
      <w:r w:rsidR="00C92EC3">
        <w:rPr>
          <w:rFonts w:ascii="Arial" w:hAnsi="Arial" w:cs="Arial"/>
          <w:sz w:val="22"/>
          <w:szCs w:val="22"/>
        </w:rPr>
        <w:t>s</w:t>
      </w:r>
      <w:r w:rsidR="006608C7" w:rsidRPr="006608C7">
        <w:rPr>
          <w:rFonts w:ascii="Arial" w:hAnsi="Arial" w:cs="Arial"/>
          <w:sz w:val="22"/>
          <w:szCs w:val="22"/>
        </w:rPr>
        <w:t>pecialist</w:t>
      </w:r>
      <w:r w:rsidR="00C92EC3">
        <w:rPr>
          <w:rFonts w:ascii="Arial" w:hAnsi="Arial" w:cs="Arial"/>
          <w:sz w:val="22"/>
          <w:szCs w:val="22"/>
        </w:rPr>
        <w:t>’</w:t>
      </w:r>
      <w:r w:rsidR="006608C7" w:rsidRPr="006608C7">
        <w:rPr>
          <w:rFonts w:ascii="Arial" w:hAnsi="Arial" w:cs="Arial"/>
          <w:sz w:val="22"/>
          <w:szCs w:val="22"/>
        </w:rPr>
        <w:t xml:space="preserve"> </w:t>
      </w:r>
      <w:r w:rsidR="00C92EC3">
        <w:rPr>
          <w:rFonts w:ascii="Arial" w:hAnsi="Arial" w:cs="Arial"/>
          <w:sz w:val="22"/>
          <w:szCs w:val="22"/>
        </w:rPr>
        <w:t>is defined by CIfA as:</w:t>
      </w:r>
    </w:p>
    <w:p w14:paraId="2D5C068A" w14:textId="3E73A9FC" w:rsidR="00C92EC3" w:rsidRDefault="00C92EC3" w:rsidP="006B5C66">
      <w:pPr>
        <w:jc w:val="both"/>
        <w:rPr>
          <w:rFonts w:ascii="Arial" w:hAnsi="Arial" w:cs="Arial"/>
          <w:sz w:val="22"/>
          <w:szCs w:val="22"/>
        </w:rPr>
      </w:pPr>
    </w:p>
    <w:p w14:paraId="764CF7D1" w14:textId="4BD77ADF" w:rsidR="00C92EC3" w:rsidRPr="00C92EC3" w:rsidRDefault="00C92EC3" w:rsidP="00C92EC3">
      <w:pPr>
        <w:ind w:left="426" w:right="379"/>
        <w:jc w:val="both"/>
        <w:rPr>
          <w:rFonts w:ascii="Arial" w:hAnsi="Arial" w:cs="Arial"/>
          <w:i/>
          <w:iCs/>
          <w:sz w:val="22"/>
          <w:szCs w:val="22"/>
        </w:rPr>
      </w:pPr>
      <w:r w:rsidRPr="00C92EC3">
        <w:rPr>
          <w:rFonts w:ascii="Arial" w:hAnsi="Arial" w:cs="Arial"/>
          <w:i/>
          <w:iCs/>
          <w:sz w:val="22"/>
          <w:szCs w:val="22"/>
        </w:rPr>
        <w:t>An individual who is competent in, and specialises in, collecting, recording, analysing, interpreting and reporting on specific materials, objects or scientific data. A specialist will have developed expertise through the extensive study of their particular field, working to accepted standards of practice and ethics, and reporting in reputable peer reviewed sources</w:t>
      </w:r>
      <w:r w:rsidR="00BB0853">
        <w:rPr>
          <w:rFonts w:ascii="Arial" w:hAnsi="Arial" w:cs="Arial"/>
          <w:i/>
          <w:iCs/>
          <w:sz w:val="22"/>
          <w:szCs w:val="22"/>
        </w:rPr>
        <w:t xml:space="preserve">. </w:t>
      </w:r>
      <w:r w:rsidRPr="00C92EC3">
        <w:rPr>
          <w:rFonts w:ascii="Arial" w:hAnsi="Arial" w:cs="Arial"/>
          <w:i/>
          <w:iCs/>
          <w:sz w:val="22"/>
          <w:szCs w:val="22"/>
        </w:rPr>
        <w:t>They should also be accredited in line with any recognition schemes in place for their field of expertise. Membership of a study group or special interest group is a valuable way of acquiring and sharing knowledge and is also recommended.</w:t>
      </w:r>
    </w:p>
    <w:p w14:paraId="4A32690E" w14:textId="77777777" w:rsidR="00C92EC3" w:rsidRDefault="00C92EC3" w:rsidP="006B5C66">
      <w:pPr>
        <w:jc w:val="both"/>
        <w:rPr>
          <w:rFonts w:ascii="Arial" w:hAnsi="Arial" w:cs="Arial"/>
          <w:sz w:val="22"/>
          <w:szCs w:val="22"/>
        </w:rPr>
      </w:pPr>
    </w:p>
    <w:p w14:paraId="3A535AFD" w14:textId="61E58909" w:rsidR="006B5684" w:rsidRDefault="007155A1" w:rsidP="006B5C66">
      <w:pPr>
        <w:jc w:val="both"/>
        <w:rPr>
          <w:rFonts w:ascii="Arial" w:hAnsi="Arial" w:cs="Arial"/>
          <w:sz w:val="22"/>
          <w:szCs w:val="22"/>
        </w:rPr>
      </w:pPr>
      <w:r>
        <w:rPr>
          <w:rFonts w:ascii="Arial" w:hAnsi="Arial" w:cs="Arial"/>
          <w:sz w:val="22"/>
          <w:szCs w:val="22"/>
        </w:rPr>
        <w:t xml:space="preserve">This professional definition </w:t>
      </w:r>
      <w:r w:rsidR="006608C7" w:rsidRPr="006608C7">
        <w:rPr>
          <w:rFonts w:ascii="Arial" w:hAnsi="Arial" w:cs="Arial"/>
          <w:sz w:val="22"/>
          <w:szCs w:val="22"/>
        </w:rPr>
        <w:t>should be applied in conjunction with the following statement from the</w:t>
      </w:r>
      <w:r w:rsidR="006608C7">
        <w:rPr>
          <w:rFonts w:ascii="Arial" w:hAnsi="Arial" w:cs="Arial"/>
          <w:sz w:val="22"/>
          <w:szCs w:val="22"/>
        </w:rPr>
        <w:t xml:space="preserve"> </w:t>
      </w:r>
      <w:r w:rsidR="006608C7" w:rsidRPr="006608C7">
        <w:rPr>
          <w:rFonts w:ascii="Arial" w:hAnsi="Arial" w:cs="Arial"/>
          <w:sz w:val="22"/>
          <w:szCs w:val="22"/>
        </w:rPr>
        <w:t xml:space="preserve">CIfA Standards and </w:t>
      </w:r>
      <w:r w:rsidR="00EF4E79">
        <w:rPr>
          <w:rFonts w:ascii="Arial" w:hAnsi="Arial" w:cs="Arial"/>
          <w:sz w:val="22"/>
          <w:szCs w:val="22"/>
        </w:rPr>
        <w:t>G</w:t>
      </w:r>
      <w:r w:rsidR="006608C7" w:rsidRPr="006608C7">
        <w:rPr>
          <w:rFonts w:ascii="Arial" w:hAnsi="Arial" w:cs="Arial"/>
          <w:sz w:val="22"/>
          <w:szCs w:val="22"/>
        </w:rPr>
        <w:t>uidance:</w:t>
      </w:r>
    </w:p>
    <w:p w14:paraId="7DDB01A1" w14:textId="77777777" w:rsidR="006B5684" w:rsidRDefault="006B5684" w:rsidP="006B5C66">
      <w:pPr>
        <w:jc w:val="both"/>
        <w:rPr>
          <w:rFonts w:ascii="Arial" w:hAnsi="Arial" w:cs="Arial"/>
          <w:sz w:val="22"/>
          <w:szCs w:val="22"/>
        </w:rPr>
      </w:pPr>
    </w:p>
    <w:p w14:paraId="372092BB" w14:textId="301F7C3E" w:rsidR="006B5684" w:rsidRDefault="006608C7" w:rsidP="007155A1">
      <w:pPr>
        <w:ind w:left="426" w:right="379"/>
        <w:jc w:val="both"/>
        <w:rPr>
          <w:rFonts w:ascii="Arial" w:hAnsi="Arial" w:cs="Arial"/>
          <w:sz w:val="22"/>
          <w:szCs w:val="22"/>
        </w:rPr>
      </w:pPr>
      <w:r w:rsidRPr="006608C7">
        <w:rPr>
          <w:rStyle w:val="Emphasis"/>
          <w:rFonts w:ascii="Arial" w:hAnsi="Arial" w:cs="Arial"/>
          <w:sz w:val="22"/>
          <w:szCs w:val="22"/>
        </w:rPr>
        <w:t>Following rule 1.4 of the Code of conduct a member shall not undertake archaeological work for which they are not adequately qualified</w:t>
      </w:r>
      <w:r w:rsidR="007155A1">
        <w:rPr>
          <w:rStyle w:val="Emphasis"/>
          <w:rFonts w:ascii="Arial" w:hAnsi="Arial" w:cs="Arial"/>
          <w:sz w:val="22"/>
          <w:szCs w:val="22"/>
        </w:rPr>
        <w:t>.</w:t>
      </w:r>
    </w:p>
    <w:p w14:paraId="32E8DD77" w14:textId="77777777" w:rsidR="0062320C" w:rsidRDefault="0062320C" w:rsidP="0062320C">
      <w:pPr>
        <w:jc w:val="both"/>
        <w:rPr>
          <w:rFonts w:ascii="Arial" w:hAnsi="Arial" w:cs="Arial"/>
          <w:bCs/>
          <w:sz w:val="22"/>
          <w:szCs w:val="22"/>
        </w:rPr>
      </w:pPr>
    </w:p>
    <w:p w14:paraId="4965E612" w14:textId="203F4B87" w:rsidR="0062320C" w:rsidRDefault="0062320C" w:rsidP="0062320C">
      <w:pPr>
        <w:jc w:val="both"/>
        <w:rPr>
          <w:rFonts w:ascii="Arial" w:hAnsi="Arial" w:cs="Arial"/>
          <w:sz w:val="22"/>
          <w:szCs w:val="22"/>
        </w:rPr>
      </w:pPr>
      <w:r w:rsidRPr="006608C7">
        <w:rPr>
          <w:rFonts w:ascii="Arial" w:hAnsi="Arial" w:cs="Arial"/>
          <w:sz w:val="22"/>
          <w:szCs w:val="22"/>
        </w:rPr>
        <w:t xml:space="preserve">Trainee or novice specialists should always work under the guidance of an experienced and established </w:t>
      </w:r>
      <w:r>
        <w:rPr>
          <w:rFonts w:ascii="Arial" w:hAnsi="Arial" w:cs="Arial"/>
          <w:sz w:val="22"/>
          <w:szCs w:val="22"/>
        </w:rPr>
        <w:t>archaeological numismatist</w:t>
      </w:r>
      <w:r w:rsidRPr="006608C7">
        <w:rPr>
          <w:rFonts w:ascii="Arial" w:hAnsi="Arial" w:cs="Arial"/>
          <w:sz w:val="22"/>
          <w:szCs w:val="22"/>
        </w:rPr>
        <w:t>.</w:t>
      </w:r>
    </w:p>
    <w:p w14:paraId="37413457" w14:textId="5B81AD38" w:rsidR="00BE0843" w:rsidRDefault="00BE0843" w:rsidP="0062320C">
      <w:pPr>
        <w:jc w:val="both"/>
        <w:rPr>
          <w:rFonts w:ascii="Arial" w:hAnsi="Arial" w:cs="Arial"/>
          <w:sz w:val="22"/>
          <w:szCs w:val="22"/>
        </w:rPr>
      </w:pPr>
    </w:p>
    <w:p w14:paraId="42C289A6" w14:textId="77777777" w:rsidR="00BE0843" w:rsidRPr="00345363" w:rsidRDefault="00BE0843" w:rsidP="00BE0843">
      <w:pPr>
        <w:rPr>
          <w:rFonts w:ascii="Arial" w:hAnsi="Arial" w:cs="Arial"/>
          <w:bCs/>
          <w:sz w:val="22"/>
          <w:szCs w:val="22"/>
        </w:rPr>
      </w:pPr>
      <w:r w:rsidRPr="00345363">
        <w:rPr>
          <w:rFonts w:ascii="Arial" w:hAnsi="Arial" w:cs="Arial"/>
          <w:bCs/>
          <w:sz w:val="22"/>
          <w:szCs w:val="22"/>
        </w:rPr>
        <w:t>The Toolkit should be used in conjunction with the following CIfA</w:t>
      </w:r>
      <w:r>
        <w:rPr>
          <w:rFonts w:ascii="Arial" w:hAnsi="Arial" w:cs="Arial"/>
          <w:bCs/>
          <w:sz w:val="22"/>
          <w:szCs w:val="22"/>
        </w:rPr>
        <w:t xml:space="preserve"> / Historic England</w:t>
      </w:r>
      <w:r w:rsidRPr="00345363">
        <w:rPr>
          <w:rFonts w:ascii="Arial" w:hAnsi="Arial" w:cs="Arial"/>
          <w:bCs/>
          <w:sz w:val="22"/>
          <w:szCs w:val="22"/>
        </w:rPr>
        <w:t xml:space="preserve"> Toolkits</w:t>
      </w:r>
      <w:r>
        <w:rPr>
          <w:rFonts w:ascii="Arial" w:hAnsi="Arial" w:cs="Arial"/>
          <w:bCs/>
          <w:sz w:val="22"/>
          <w:szCs w:val="22"/>
        </w:rPr>
        <w:t xml:space="preserve"> and </w:t>
      </w:r>
      <w:r w:rsidRPr="00345363">
        <w:rPr>
          <w:rFonts w:ascii="Arial" w:hAnsi="Arial" w:cs="Arial"/>
          <w:bCs/>
          <w:sz w:val="22"/>
          <w:szCs w:val="22"/>
        </w:rPr>
        <w:t>standards and guidance documents:</w:t>
      </w:r>
    </w:p>
    <w:p w14:paraId="3C2789DC" w14:textId="77777777" w:rsidR="00BE0843" w:rsidRPr="00FD4729" w:rsidRDefault="00BE0843" w:rsidP="00BE0843">
      <w:pPr>
        <w:pStyle w:val="ListParagraph"/>
        <w:numPr>
          <w:ilvl w:val="0"/>
          <w:numId w:val="4"/>
        </w:numPr>
        <w:ind w:left="851" w:hanging="425"/>
        <w:rPr>
          <w:rFonts w:ascii="Arial" w:hAnsi="Arial" w:cs="Arial"/>
          <w:bCs/>
          <w:sz w:val="22"/>
          <w:szCs w:val="22"/>
        </w:rPr>
      </w:pPr>
      <w:hyperlink r:id="rId6" w:tgtFrame="_blank" w:history="1">
        <w:r w:rsidRPr="00EF4E79">
          <w:rPr>
            <w:rFonts w:ascii="Arial" w:hAnsi="Arial" w:cs="Arial"/>
            <w:color w:val="0000FF"/>
            <w:sz w:val="22"/>
            <w:szCs w:val="22"/>
            <w:u w:val="single"/>
          </w:rPr>
          <w:t xml:space="preserve">Management of Research Projects in the Historic Environment: The </w:t>
        </w:r>
        <w:proofErr w:type="spellStart"/>
        <w:r w:rsidRPr="00EF4E79">
          <w:rPr>
            <w:rFonts w:ascii="Arial" w:hAnsi="Arial" w:cs="Arial"/>
            <w:color w:val="0000FF"/>
            <w:sz w:val="22"/>
            <w:szCs w:val="22"/>
            <w:u w:val="single"/>
          </w:rPr>
          <w:t>MoRPHE</w:t>
        </w:r>
        <w:proofErr w:type="spellEnd"/>
        <w:r w:rsidRPr="00EF4E79">
          <w:rPr>
            <w:rFonts w:ascii="Arial" w:hAnsi="Arial" w:cs="Arial"/>
            <w:color w:val="0000FF"/>
            <w:sz w:val="22"/>
            <w:szCs w:val="22"/>
            <w:u w:val="single"/>
          </w:rPr>
          <w:t xml:space="preserve"> Project Managers’ Guide</w:t>
        </w:r>
      </w:hyperlink>
    </w:p>
    <w:p w14:paraId="53E08D9E" w14:textId="77777777" w:rsidR="00BE0843" w:rsidRPr="00FD4729" w:rsidRDefault="00BE0843" w:rsidP="00BE0843">
      <w:pPr>
        <w:pStyle w:val="ListParagraph"/>
        <w:numPr>
          <w:ilvl w:val="1"/>
          <w:numId w:val="4"/>
        </w:numPr>
        <w:rPr>
          <w:rFonts w:ascii="Arial" w:hAnsi="Arial" w:cs="Arial"/>
          <w:bCs/>
          <w:sz w:val="22"/>
          <w:szCs w:val="22"/>
        </w:rPr>
      </w:pPr>
      <w:proofErr w:type="spellStart"/>
      <w:r w:rsidRPr="00FD4729">
        <w:rPr>
          <w:rFonts w:ascii="Arial" w:hAnsi="Arial" w:cs="Arial"/>
          <w:sz w:val="22"/>
          <w:szCs w:val="22"/>
        </w:rPr>
        <w:t>MoRPHE</w:t>
      </w:r>
      <w:proofErr w:type="spellEnd"/>
      <w:r w:rsidRPr="00FD4729">
        <w:rPr>
          <w:rFonts w:ascii="Arial" w:hAnsi="Arial" w:cs="Arial"/>
          <w:sz w:val="22"/>
          <w:szCs w:val="22"/>
        </w:rPr>
        <w:t xml:space="preserve"> (Management of Research Projects in the Historic Environment) Project Planning Note 3: Archaeological Excavation, Historic England (2008)</w:t>
      </w:r>
    </w:p>
    <w:p w14:paraId="68A5D84A" w14:textId="77777777" w:rsidR="00BE0843" w:rsidRPr="00033592" w:rsidRDefault="00BE0843" w:rsidP="00BE0843">
      <w:pPr>
        <w:pStyle w:val="ListParagraph"/>
        <w:numPr>
          <w:ilvl w:val="0"/>
          <w:numId w:val="4"/>
        </w:numPr>
        <w:ind w:left="851" w:hanging="425"/>
        <w:rPr>
          <w:rFonts w:ascii="Arial" w:hAnsi="Arial" w:cs="Arial"/>
          <w:bCs/>
          <w:sz w:val="22"/>
          <w:szCs w:val="22"/>
        </w:rPr>
      </w:pPr>
      <w:hyperlink r:id="rId7" w:tgtFrame="_blank" w:history="1">
        <w:r w:rsidRPr="00345363">
          <w:rPr>
            <w:rStyle w:val="Hyperlink"/>
            <w:rFonts w:ascii="Arial" w:hAnsi="Arial" w:cs="Arial"/>
            <w:sz w:val="22"/>
            <w:szCs w:val="22"/>
          </w:rPr>
          <w:t>Standard and guidance for the collection, documentation, conservation and research of archaeological materials (2014)</w:t>
        </w:r>
      </w:hyperlink>
    </w:p>
    <w:p w14:paraId="3D676C52" w14:textId="77777777" w:rsidR="00BE0843" w:rsidRPr="00E34F66" w:rsidRDefault="00BE0843" w:rsidP="00BE0843">
      <w:pPr>
        <w:pStyle w:val="ListParagraph"/>
        <w:numPr>
          <w:ilvl w:val="0"/>
          <w:numId w:val="4"/>
        </w:numPr>
        <w:ind w:left="851" w:hanging="425"/>
        <w:rPr>
          <w:rFonts w:ascii="Arial" w:hAnsi="Arial" w:cs="Arial"/>
          <w:sz w:val="22"/>
          <w:szCs w:val="22"/>
        </w:rPr>
      </w:pPr>
      <w:hyperlink r:id="rId8" w:history="1">
        <w:r w:rsidRPr="00FD4729">
          <w:rPr>
            <w:rStyle w:val="Hyperlink"/>
            <w:rFonts w:ascii="Arial" w:hAnsi="Arial" w:cs="Arial"/>
            <w:sz w:val="22"/>
            <w:szCs w:val="22"/>
          </w:rPr>
          <w:t>Toolkit for Finds Recording</w:t>
        </w:r>
      </w:hyperlink>
    </w:p>
    <w:p w14:paraId="43B34CAC" w14:textId="77777777" w:rsidR="00BE0843" w:rsidRPr="004C7326" w:rsidRDefault="00BE0843" w:rsidP="00BE0843">
      <w:pPr>
        <w:pStyle w:val="ListParagraph"/>
        <w:numPr>
          <w:ilvl w:val="0"/>
          <w:numId w:val="4"/>
        </w:numPr>
        <w:ind w:left="851" w:hanging="425"/>
        <w:rPr>
          <w:rFonts w:ascii="Arial" w:hAnsi="Arial" w:cs="Arial"/>
          <w:sz w:val="22"/>
          <w:szCs w:val="22"/>
        </w:rPr>
      </w:pPr>
      <w:hyperlink r:id="rId9" w:tgtFrame="_blank" w:history="1">
        <w:r w:rsidRPr="004C7326">
          <w:rPr>
            <w:rFonts w:ascii="Arial" w:hAnsi="Arial" w:cs="Arial"/>
            <w:color w:val="0000FF"/>
            <w:sz w:val="22"/>
            <w:szCs w:val="22"/>
            <w:u w:val="single"/>
          </w:rPr>
          <w:t>Toolkit for Specialist Reporting</w:t>
        </w:r>
      </w:hyperlink>
    </w:p>
    <w:p w14:paraId="18DF1F5A" w14:textId="0D8F49DF" w:rsidR="00BE0843" w:rsidRPr="00BE0843" w:rsidRDefault="00BE0843" w:rsidP="00BE0843">
      <w:pPr>
        <w:pStyle w:val="ListParagraph"/>
        <w:numPr>
          <w:ilvl w:val="0"/>
          <w:numId w:val="4"/>
        </w:numPr>
        <w:ind w:left="851" w:hanging="425"/>
        <w:rPr>
          <w:rStyle w:val="Hyperlink"/>
          <w:rFonts w:ascii="Arial" w:hAnsi="Arial" w:cs="Arial"/>
          <w:bCs/>
          <w:color w:val="auto"/>
          <w:sz w:val="22"/>
          <w:szCs w:val="22"/>
          <w:u w:val="none"/>
        </w:rPr>
      </w:pPr>
      <w:hyperlink r:id="rId10" w:history="1">
        <w:r w:rsidRPr="000F0E1F">
          <w:rPr>
            <w:rStyle w:val="Hyperlink"/>
            <w:rFonts w:ascii="Arial" w:hAnsi="Arial" w:cs="Arial"/>
            <w:sz w:val="22"/>
            <w:szCs w:val="22"/>
          </w:rPr>
          <w:t>Toolkit for Managing Digital Data</w:t>
        </w:r>
      </w:hyperlink>
      <w:r>
        <w:rPr>
          <w:rFonts w:ascii="Arial" w:hAnsi="Arial" w:cs="Arial"/>
          <w:sz w:val="22"/>
          <w:szCs w:val="22"/>
        </w:rPr>
        <w:t xml:space="preserve"> (</w:t>
      </w:r>
      <w:r w:rsidRPr="00FD4729">
        <w:rPr>
          <w:rFonts w:ascii="Arial" w:hAnsi="Arial" w:cs="Arial"/>
          <w:i/>
          <w:iCs/>
          <w:sz w:val="22"/>
          <w:szCs w:val="22"/>
        </w:rPr>
        <w:t>Dig Digital</w:t>
      </w:r>
      <w:r>
        <w:rPr>
          <w:rFonts w:ascii="Arial" w:hAnsi="Arial" w:cs="Arial"/>
          <w:sz w:val="22"/>
          <w:szCs w:val="22"/>
        </w:rPr>
        <w:t xml:space="preserve"> </w:t>
      </w:r>
      <w:r w:rsidRPr="00FD4729">
        <w:rPr>
          <w:rFonts w:ascii="Arial" w:hAnsi="Arial" w:cs="Arial"/>
          <w:sz w:val="22"/>
          <w:szCs w:val="22"/>
        </w:rPr>
        <w:t>online resourc</w:t>
      </w:r>
      <w:r>
        <w:rPr>
          <w:rFonts w:ascii="Arial" w:hAnsi="Arial" w:cs="Arial"/>
          <w:sz w:val="22"/>
          <w:szCs w:val="22"/>
        </w:rPr>
        <w:t>e)</w:t>
      </w:r>
    </w:p>
    <w:p w14:paraId="4419B99D" w14:textId="77777777" w:rsidR="00BE0843" w:rsidRPr="006A4205" w:rsidRDefault="00BE0843" w:rsidP="00BE0843">
      <w:pPr>
        <w:numPr>
          <w:ilvl w:val="0"/>
          <w:numId w:val="4"/>
        </w:numPr>
        <w:ind w:left="851" w:hanging="425"/>
        <w:rPr>
          <w:rFonts w:ascii="Arial" w:hAnsi="Arial" w:cs="Arial"/>
          <w:sz w:val="22"/>
          <w:szCs w:val="22"/>
        </w:rPr>
      </w:pPr>
      <w:hyperlink r:id="rId11" w:history="1">
        <w:r w:rsidRPr="006A4205">
          <w:rPr>
            <w:rStyle w:val="Emphasis"/>
            <w:rFonts w:ascii="Arial" w:hAnsi="Arial" w:cs="Arial"/>
            <w:i w:val="0"/>
            <w:iCs w:val="0"/>
            <w:color w:val="0000FF"/>
            <w:sz w:val="22"/>
            <w:szCs w:val="22"/>
            <w:u w:val="single"/>
          </w:rPr>
          <w:t>Toolkit for Selecting Archaeological Archives</w:t>
        </w:r>
      </w:hyperlink>
    </w:p>
    <w:p w14:paraId="5331A33F" w14:textId="77777777" w:rsidR="00BE0843" w:rsidRPr="00174F03" w:rsidRDefault="00BE0843" w:rsidP="00713011">
      <w:pPr>
        <w:pBdr>
          <w:bottom w:val="single" w:sz="6" w:space="1" w:color="auto"/>
        </w:pBdr>
        <w:rPr>
          <w:rFonts w:ascii="Arial" w:hAnsi="Arial" w:cs="Arial"/>
          <w:bCs/>
          <w:sz w:val="22"/>
          <w:szCs w:val="22"/>
        </w:rPr>
      </w:pPr>
    </w:p>
    <w:p w14:paraId="3221DA42" w14:textId="77777777" w:rsidR="00B250EA" w:rsidRDefault="00B250EA" w:rsidP="006B5C66">
      <w:pPr>
        <w:rPr>
          <w:rFonts w:ascii="Arial" w:hAnsi="Arial" w:cs="Arial"/>
          <w:sz w:val="22"/>
          <w:szCs w:val="22"/>
        </w:rPr>
      </w:pPr>
    </w:p>
    <w:p w14:paraId="64EA91DA" w14:textId="71ADB1B9" w:rsidR="00B250EA" w:rsidRPr="00A35C4A" w:rsidRDefault="006B5C66" w:rsidP="006B5C66">
      <w:pPr>
        <w:jc w:val="center"/>
        <w:rPr>
          <w:rFonts w:ascii="Arial" w:hAnsi="Arial" w:cs="Arial"/>
          <w:b/>
          <w:bCs/>
          <w:color w:val="731472"/>
          <w:sz w:val="22"/>
          <w:szCs w:val="22"/>
        </w:rPr>
      </w:pPr>
      <w:r>
        <w:rPr>
          <w:rFonts w:ascii="Arial" w:hAnsi="Arial" w:cs="Arial"/>
          <w:b/>
          <w:bCs/>
          <w:color w:val="731472"/>
          <w:sz w:val="22"/>
          <w:szCs w:val="22"/>
        </w:rPr>
        <w:t>BACKGROUND</w:t>
      </w:r>
    </w:p>
    <w:p w14:paraId="1B6B7B16" w14:textId="77777777" w:rsidR="00EF4E79" w:rsidRDefault="00EF4E79" w:rsidP="006B5C66">
      <w:pPr>
        <w:rPr>
          <w:rFonts w:ascii="Arial" w:hAnsi="Arial" w:cs="Arial"/>
          <w:sz w:val="22"/>
          <w:szCs w:val="22"/>
        </w:rPr>
      </w:pPr>
    </w:p>
    <w:p w14:paraId="49F38A9F" w14:textId="3EBCE27E" w:rsidR="00EB0567" w:rsidRDefault="00611E77" w:rsidP="006B5C66">
      <w:pPr>
        <w:jc w:val="both"/>
        <w:rPr>
          <w:rFonts w:ascii="Arial" w:hAnsi="Arial" w:cs="Arial"/>
          <w:sz w:val="22"/>
          <w:szCs w:val="22"/>
        </w:rPr>
      </w:pPr>
      <w:r>
        <w:rPr>
          <w:rFonts w:ascii="Arial" w:hAnsi="Arial" w:cs="Arial"/>
          <w:sz w:val="22"/>
          <w:szCs w:val="22"/>
        </w:rPr>
        <w:t xml:space="preserve">Coins are </w:t>
      </w:r>
      <w:r w:rsidR="00EB0567">
        <w:rPr>
          <w:rFonts w:ascii="Arial" w:hAnsi="Arial" w:cs="Arial"/>
          <w:sz w:val="22"/>
          <w:szCs w:val="22"/>
        </w:rPr>
        <w:t>relatively common</w:t>
      </w:r>
      <w:r>
        <w:rPr>
          <w:rFonts w:ascii="Arial" w:hAnsi="Arial" w:cs="Arial"/>
          <w:sz w:val="22"/>
          <w:szCs w:val="22"/>
        </w:rPr>
        <w:t xml:space="preserve"> finds from archaeological </w:t>
      </w:r>
      <w:r w:rsidR="00EB0567">
        <w:rPr>
          <w:rFonts w:ascii="Arial" w:hAnsi="Arial" w:cs="Arial"/>
          <w:sz w:val="22"/>
          <w:szCs w:val="22"/>
        </w:rPr>
        <w:t>excavations of Romano-British sites. D</w:t>
      </w:r>
      <w:r w:rsidR="009932D1">
        <w:rPr>
          <w:rFonts w:ascii="Arial" w:hAnsi="Arial" w:cs="Arial"/>
          <w:sz w:val="22"/>
          <w:szCs w:val="22"/>
        </w:rPr>
        <w:t xml:space="preserve">ifferent settlement types tend to produce distinctive patterns of coin loss (e.g., military and urban sites, </w:t>
      </w:r>
      <w:r w:rsidR="005F1C86">
        <w:rPr>
          <w:rFonts w:ascii="Arial" w:hAnsi="Arial" w:cs="Arial"/>
          <w:sz w:val="22"/>
          <w:szCs w:val="22"/>
        </w:rPr>
        <w:t xml:space="preserve">religious sites, </w:t>
      </w:r>
      <w:r w:rsidR="009932D1">
        <w:rPr>
          <w:rFonts w:ascii="Arial" w:hAnsi="Arial" w:cs="Arial"/>
          <w:sz w:val="22"/>
          <w:szCs w:val="22"/>
        </w:rPr>
        <w:t xml:space="preserve">villas and </w:t>
      </w:r>
      <w:r w:rsidR="005F1C86">
        <w:rPr>
          <w:rFonts w:ascii="Arial" w:hAnsi="Arial" w:cs="Arial"/>
          <w:sz w:val="22"/>
          <w:szCs w:val="22"/>
        </w:rPr>
        <w:t xml:space="preserve">other </w:t>
      </w:r>
      <w:r w:rsidR="009932D1">
        <w:rPr>
          <w:rFonts w:ascii="Arial" w:hAnsi="Arial" w:cs="Arial"/>
          <w:sz w:val="22"/>
          <w:szCs w:val="22"/>
        </w:rPr>
        <w:t>rural settlements)</w:t>
      </w:r>
      <w:r w:rsidR="00EB0567">
        <w:rPr>
          <w:rFonts w:ascii="Arial" w:hAnsi="Arial" w:cs="Arial"/>
          <w:sz w:val="22"/>
          <w:szCs w:val="22"/>
        </w:rPr>
        <w:t xml:space="preserve">, </w:t>
      </w:r>
      <w:r w:rsidR="005F1C86">
        <w:rPr>
          <w:rFonts w:ascii="Arial" w:hAnsi="Arial" w:cs="Arial"/>
          <w:sz w:val="22"/>
          <w:szCs w:val="22"/>
        </w:rPr>
        <w:t>while</w:t>
      </w:r>
      <w:r w:rsidR="00EB0567">
        <w:rPr>
          <w:rFonts w:ascii="Arial" w:hAnsi="Arial" w:cs="Arial"/>
          <w:sz w:val="22"/>
          <w:szCs w:val="22"/>
        </w:rPr>
        <w:t xml:space="preserve"> coins are more common from some parts of Roman Britain than others.</w:t>
      </w:r>
    </w:p>
    <w:p w14:paraId="17E632E0" w14:textId="77777777" w:rsidR="005F1C86" w:rsidRDefault="005F1C86" w:rsidP="006B5C66">
      <w:pPr>
        <w:jc w:val="both"/>
        <w:rPr>
          <w:rFonts w:ascii="Arial" w:hAnsi="Arial" w:cs="Arial"/>
          <w:sz w:val="22"/>
          <w:szCs w:val="22"/>
        </w:rPr>
      </w:pPr>
    </w:p>
    <w:p w14:paraId="37EC1219" w14:textId="77777777" w:rsidR="001F4626" w:rsidRPr="00B52E67" w:rsidRDefault="001F4626" w:rsidP="001F4626">
      <w:pPr>
        <w:jc w:val="both"/>
        <w:rPr>
          <w:rFonts w:ascii="Arial" w:hAnsi="Arial" w:cs="Arial"/>
          <w:sz w:val="22"/>
          <w:szCs w:val="22"/>
        </w:rPr>
      </w:pPr>
      <w:r w:rsidRPr="00B52E67">
        <w:rPr>
          <w:rFonts w:ascii="Arial" w:hAnsi="Arial" w:cs="Arial"/>
          <w:sz w:val="22"/>
          <w:szCs w:val="22"/>
        </w:rPr>
        <w:t xml:space="preserve">A previous standards and guidance document for Romano-British coin reports, commissioned by English Heritage in 2004, failed to gain traction in the </w:t>
      </w:r>
      <w:r>
        <w:rPr>
          <w:rFonts w:ascii="Arial" w:hAnsi="Arial" w:cs="Arial"/>
          <w:sz w:val="22"/>
          <w:szCs w:val="22"/>
        </w:rPr>
        <w:t>historic environment sector</w:t>
      </w:r>
      <w:r w:rsidRPr="00B52E67">
        <w:rPr>
          <w:rFonts w:ascii="Arial" w:hAnsi="Arial" w:cs="Arial"/>
          <w:sz w:val="22"/>
          <w:szCs w:val="22"/>
        </w:rPr>
        <w:t xml:space="preserve"> and was removed from Historic England’s website in 2015 (Brickstock 2004). Currently, there is no industry standard setting out the minimum requirements for Romano-British coin reports.</w:t>
      </w:r>
    </w:p>
    <w:p w14:paraId="767F24F1" w14:textId="77777777" w:rsidR="001F4626" w:rsidRPr="00B52E67" w:rsidRDefault="001F4626" w:rsidP="001F4626">
      <w:pPr>
        <w:jc w:val="both"/>
        <w:rPr>
          <w:rFonts w:ascii="Arial" w:hAnsi="Arial" w:cs="Arial"/>
          <w:sz w:val="22"/>
          <w:szCs w:val="22"/>
        </w:rPr>
      </w:pPr>
    </w:p>
    <w:p w14:paraId="62F1EA58" w14:textId="39323BC6" w:rsidR="001141D0" w:rsidRDefault="001141D0" w:rsidP="006B5C66">
      <w:pPr>
        <w:jc w:val="both"/>
        <w:rPr>
          <w:rFonts w:ascii="Arial" w:hAnsi="Arial" w:cs="Arial"/>
          <w:sz w:val="22"/>
          <w:szCs w:val="22"/>
        </w:rPr>
      </w:pPr>
      <w:r>
        <w:rPr>
          <w:rFonts w:ascii="Arial" w:hAnsi="Arial" w:cs="Arial"/>
          <w:sz w:val="22"/>
          <w:szCs w:val="22"/>
        </w:rPr>
        <w:t xml:space="preserve">Roman coins are unique among archaeological artefacts in that they were </w:t>
      </w:r>
      <w:r w:rsidR="00264C3E">
        <w:rPr>
          <w:rFonts w:ascii="Arial" w:hAnsi="Arial" w:cs="Arial"/>
          <w:sz w:val="22"/>
          <w:szCs w:val="22"/>
        </w:rPr>
        <w:t>produced</w:t>
      </w:r>
      <w:r>
        <w:rPr>
          <w:rFonts w:ascii="Arial" w:hAnsi="Arial" w:cs="Arial"/>
          <w:sz w:val="22"/>
          <w:szCs w:val="22"/>
        </w:rPr>
        <w:t xml:space="preserve"> by the state </w:t>
      </w:r>
      <w:r w:rsidR="00264C3E">
        <w:rPr>
          <w:rFonts w:ascii="Arial" w:hAnsi="Arial" w:cs="Arial"/>
          <w:sz w:val="22"/>
          <w:szCs w:val="22"/>
        </w:rPr>
        <w:t xml:space="preserve">in order </w:t>
      </w:r>
      <w:r>
        <w:rPr>
          <w:rFonts w:ascii="Arial" w:hAnsi="Arial" w:cs="Arial"/>
          <w:sz w:val="22"/>
          <w:szCs w:val="22"/>
        </w:rPr>
        <w:t xml:space="preserve">to serve the state’s needs - </w:t>
      </w:r>
      <w:r w:rsidR="00EF73CA">
        <w:rPr>
          <w:rFonts w:ascii="Arial" w:hAnsi="Arial" w:cs="Arial"/>
          <w:sz w:val="22"/>
          <w:szCs w:val="22"/>
        </w:rPr>
        <w:t>the</w:t>
      </w:r>
      <w:r w:rsidR="007E14FC">
        <w:rPr>
          <w:rFonts w:ascii="Arial" w:hAnsi="Arial" w:cs="Arial"/>
          <w:sz w:val="22"/>
          <w:szCs w:val="22"/>
        </w:rPr>
        <w:t xml:space="preserve"> emperor’s</w:t>
      </w:r>
      <w:r w:rsidR="00EF73CA">
        <w:rPr>
          <w:rFonts w:ascii="Arial" w:hAnsi="Arial" w:cs="Arial"/>
          <w:sz w:val="22"/>
          <w:szCs w:val="22"/>
        </w:rPr>
        <w:t xml:space="preserve"> coins</w:t>
      </w:r>
      <w:r w:rsidR="008A6CE2">
        <w:rPr>
          <w:rFonts w:ascii="Arial" w:hAnsi="Arial" w:cs="Arial"/>
          <w:sz w:val="22"/>
          <w:szCs w:val="22"/>
        </w:rPr>
        <w:t xml:space="preserve"> were issued</w:t>
      </w:r>
      <w:r w:rsidR="00EF73CA">
        <w:rPr>
          <w:rFonts w:ascii="Arial" w:hAnsi="Arial" w:cs="Arial"/>
          <w:sz w:val="22"/>
          <w:szCs w:val="22"/>
        </w:rPr>
        <w:t xml:space="preserve"> in order </w:t>
      </w:r>
      <w:r w:rsidR="007675FA">
        <w:rPr>
          <w:rFonts w:ascii="Arial" w:hAnsi="Arial" w:cs="Arial"/>
          <w:sz w:val="22"/>
          <w:szCs w:val="22"/>
        </w:rPr>
        <w:t xml:space="preserve">to </w:t>
      </w:r>
      <w:r w:rsidR="00EF73CA">
        <w:rPr>
          <w:rFonts w:ascii="Arial" w:hAnsi="Arial" w:cs="Arial"/>
          <w:sz w:val="22"/>
          <w:szCs w:val="22"/>
        </w:rPr>
        <w:t xml:space="preserve">pay for the costs of the army and the civil service, </w:t>
      </w:r>
      <w:r w:rsidR="007675FA">
        <w:rPr>
          <w:rFonts w:ascii="Arial" w:hAnsi="Arial" w:cs="Arial"/>
          <w:sz w:val="22"/>
          <w:szCs w:val="22"/>
        </w:rPr>
        <w:t>to store wealth</w:t>
      </w:r>
      <w:r w:rsidR="00435B07">
        <w:rPr>
          <w:rFonts w:ascii="Arial" w:hAnsi="Arial" w:cs="Arial"/>
          <w:sz w:val="22"/>
          <w:szCs w:val="22"/>
        </w:rPr>
        <w:t xml:space="preserve"> and </w:t>
      </w:r>
      <w:r w:rsidR="007155A1">
        <w:rPr>
          <w:rFonts w:ascii="Arial" w:hAnsi="Arial" w:cs="Arial"/>
          <w:sz w:val="22"/>
          <w:szCs w:val="22"/>
        </w:rPr>
        <w:t xml:space="preserve">to </w:t>
      </w:r>
      <w:r w:rsidR="00435B07">
        <w:rPr>
          <w:rFonts w:ascii="Arial" w:hAnsi="Arial" w:cs="Arial"/>
          <w:sz w:val="22"/>
          <w:szCs w:val="22"/>
        </w:rPr>
        <w:t>distribute imperial largesse</w:t>
      </w:r>
      <w:r w:rsidR="007675FA">
        <w:rPr>
          <w:rFonts w:ascii="Arial" w:hAnsi="Arial" w:cs="Arial"/>
          <w:sz w:val="22"/>
          <w:szCs w:val="22"/>
        </w:rPr>
        <w:t xml:space="preserve">, </w:t>
      </w:r>
      <w:r w:rsidR="00EF73CA">
        <w:rPr>
          <w:rFonts w:ascii="Arial" w:hAnsi="Arial" w:cs="Arial"/>
          <w:sz w:val="22"/>
          <w:szCs w:val="22"/>
        </w:rPr>
        <w:t>as well as to facilitate trade and commerce.</w:t>
      </w:r>
      <w:r>
        <w:rPr>
          <w:rFonts w:ascii="Arial" w:hAnsi="Arial" w:cs="Arial"/>
          <w:sz w:val="22"/>
          <w:szCs w:val="22"/>
        </w:rPr>
        <w:t xml:space="preserve"> </w:t>
      </w:r>
      <w:r w:rsidR="00EF73CA">
        <w:rPr>
          <w:rFonts w:ascii="Arial" w:hAnsi="Arial" w:cs="Arial"/>
          <w:sz w:val="22"/>
          <w:szCs w:val="22"/>
        </w:rPr>
        <w:t xml:space="preserve">Although Roman coinage changed significantly from the 1st to the 4th centuries, in </w:t>
      </w:r>
      <w:r w:rsidR="007675FA">
        <w:rPr>
          <w:rFonts w:ascii="Arial" w:hAnsi="Arial" w:cs="Arial"/>
          <w:sz w:val="22"/>
          <w:szCs w:val="22"/>
        </w:rPr>
        <w:t>theory</w:t>
      </w:r>
      <w:r w:rsidR="00EF73CA">
        <w:rPr>
          <w:rFonts w:ascii="Arial" w:hAnsi="Arial" w:cs="Arial"/>
          <w:sz w:val="22"/>
          <w:szCs w:val="22"/>
        </w:rPr>
        <w:t xml:space="preserve"> Rome’s currency </w:t>
      </w:r>
      <w:r w:rsidR="007675FA">
        <w:rPr>
          <w:rFonts w:ascii="Arial" w:hAnsi="Arial" w:cs="Arial"/>
          <w:sz w:val="22"/>
          <w:szCs w:val="22"/>
        </w:rPr>
        <w:t xml:space="preserve">always </w:t>
      </w:r>
      <w:r w:rsidR="005F1C86">
        <w:rPr>
          <w:rFonts w:ascii="Arial" w:hAnsi="Arial" w:cs="Arial"/>
          <w:sz w:val="22"/>
          <w:szCs w:val="22"/>
        </w:rPr>
        <w:t xml:space="preserve">consisted of a tri-metallic system </w:t>
      </w:r>
      <w:r w:rsidR="001D10D1">
        <w:rPr>
          <w:rFonts w:ascii="Arial" w:hAnsi="Arial" w:cs="Arial"/>
          <w:sz w:val="22"/>
          <w:szCs w:val="22"/>
        </w:rPr>
        <w:t xml:space="preserve">(gold, silver and bronze), </w:t>
      </w:r>
      <w:r w:rsidR="005F1C86">
        <w:rPr>
          <w:rFonts w:ascii="Arial" w:hAnsi="Arial" w:cs="Arial"/>
          <w:sz w:val="22"/>
          <w:szCs w:val="22"/>
        </w:rPr>
        <w:t xml:space="preserve">composed of </w:t>
      </w:r>
      <w:r>
        <w:rPr>
          <w:rFonts w:ascii="Arial" w:hAnsi="Arial" w:cs="Arial"/>
          <w:sz w:val="22"/>
          <w:szCs w:val="22"/>
        </w:rPr>
        <w:t xml:space="preserve">interchangeable </w:t>
      </w:r>
      <w:r w:rsidR="005F1C86">
        <w:rPr>
          <w:rFonts w:ascii="Arial" w:hAnsi="Arial" w:cs="Arial"/>
          <w:sz w:val="22"/>
          <w:szCs w:val="22"/>
        </w:rPr>
        <w:t xml:space="preserve">denominations of </w:t>
      </w:r>
      <w:r w:rsidR="00C10F32">
        <w:rPr>
          <w:rFonts w:ascii="Arial" w:hAnsi="Arial" w:cs="Arial"/>
          <w:sz w:val="22"/>
          <w:szCs w:val="22"/>
        </w:rPr>
        <w:t>different monetary values</w:t>
      </w:r>
      <w:r w:rsidR="004B599D">
        <w:rPr>
          <w:rFonts w:ascii="Arial" w:hAnsi="Arial" w:cs="Arial"/>
          <w:sz w:val="22"/>
          <w:szCs w:val="22"/>
        </w:rPr>
        <w:t xml:space="preserve"> (normally </w:t>
      </w:r>
      <w:r w:rsidR="000E2CE7">
        <w:rPr>
          <w:rFonts w:ascii="Arial" w:hAnsi="Arial" w:cs="Arial"/>
          <w:sz w:val="22"/>
          <w:szCs w:val="22"/>
        </w:rPr>
        <w:t xml:space="preserve">for a fee </w:t>
      </w:r>
      <w:r w:rsidR="00A65539">
        <w:rPr>
          <w:rFonts w:ascii="Arial" w:hAnsi="Arial" w:cs="Arial"/>
          <w:sz w:val="22"/>
          <w:szCs w:val="22"/>
        </w:rPr>
        <w:t>collected by</w:t>
      </w:r>
      <w:r w:rsidR="004B599D">
        <w:rPr>
          <w:rFonts w:ascii="Arial" w:hAnsi="Arial" w:cs="Arial"/>
          <w:sz w:val="22"/>
          <w:szCs w:val="22"/>
        </w:rPr>
        <w:t xml:space="preserve"> money-changers)</w:t>
      </w:r>
      <w:r w:rsidR="00C10F32">
        <w:rPr>
          <w:rFonts w:ascii="Arial" w:hAnsi="Arial" w:cs="Arial"/>
          <w:sz w:val="22"/>
          <w:szCs w:val="22"/>
        </w:rPr>
        <w:t>.</w:t>
      </w:r>
      <w:r w:rsidRPr="001141D0">
        <w:rPr>
          <w:rFonts w:ascii="Arial" w:hAnsi="Arial" w:cs="Arial"/>
          <w:sz w:val="22"/>
          <w:szCs w:val="22"/>
        </w:rPr>
        <w:t xml:space="preserve"> </w:t>
      </w:r>
      <w:r w:rsidR="001D10D1">
        <w:rPr>
          <w:rFonts w:ascii="Arial" w:hAnsi="Arial" w:cs="Arial"/>
          <w:sz w:val="22"/>
          <w:szCs w:val="22"/>
        </w:rPr>
        <w:t>Low-value small-change denominations are most common from</w:t>
      </w:r>
      <w:r>
        <w:rPr>
          <w:rFonts w:ascii="Arial" w:hAnsi="Arial" w:cs="Arial"/>
          <w:sz w:val="22"/>
          <w:szCs w:val="22"/>
        </w:rPr>
        <w:t xml:space="preserve"> archaeological excavations, </w:t>
      </w:r>
      <w:r w:rsidR="000E2CE7">
        <w:rPr>
          <w:rFonts w:ascii="Arial" w:hAnsi="Arial" w:cs="Arial"/>
          <w:sz w:val="22"/>
          <w:szCs w:val="22"/>
        </w:rPr>
        <w:t>whereas</w:t>
      </w:r>
      <w:r>
        <w:rPr>
          <w:rFonts w:ascii="Arial" w:hAnsi="Arial" w:cs="Arial"/>
          <w:sz w:val="22"/>
          <w:szCs w:val="22"/>
        </w:rPr>
        <w:t xml:space="preserve"> higher value coins are more often found in hoards.</w:t>
      </w:r>
    </w:p>
    <w:p w14:paraId="2FB1806B" w14:textId="77777777" w:rsidR="001141D0" w:rsidRDefault="001141D0" w:rsidP="006B5C66">
      <w:pPr>
        <w:jc w:val="both"/>
        <w:rPr>
          <w:rFonts w:ascii="Arial" w:hAnsi="Arial" w:cs="Arial"/>
          <w:sz w:val="22"/>
          <w:szCs w:val="22"/>
        </w:rPr>
      </w:pPr>
    </w:p>
    <w:p w14:paraId="143AF55F" w14:textId="17370F56" w:rsidR="00EF73CA" w:rsidRDefault="001141D0" w:rsidP="006B5C66">
      <w:pPr>
        <w:jc w:val="both"/>
        <w:rPr>
          <w:rFonts w:ascii="Arial" w:hAnsi="Arial" w:cs="Arial"/>
          <w:sz w:val="22"/>
          <w:szCs w:val="22"/>
        </w:rPr>
      </w:pPr>
      <w:r>
        <w:rPr>
          <w:rFonts w:ascii="Arial" w:hAnsi="Arial" w:cs="Arial"/>
          <w:sz w:val="22"/>
          <w:szCs w:val="22"/>
        </w:rPr>
        <w:t xml:space="preserve">Almost all Roman coins </w:t>
      </w:r>
      <w:r w:rsidR="00D72DCC">
        <w:rPr>
          <w:rFonts w:ascii="Arial" w:hAnsi="Arial" w:cs="Arial"/>
          <w:sz w:val="22"/>
          <w:szCs w:val="22"/>
        </w:rPr>
        <w:t>can be dated to an emperor’s reign (and, in some instances, more closely to a particular year or years</w:t>
      </w:r>
      <w:r w:rsidR="008A6CE2">
        <w:rPr>
          <w:rFonts w:ascii="Arial" w:hAnsi="Arial" w:cs="Arial"/>
          <w:sz w:val="22"/>
          <w:szCs w:val="22"/>
        </w:rPr>
        <w:t>)</w:t>
      </w:r>
      <w:r>
        <w:rPr>
          <w:rFonts w:ascii="Arial" w:hAnsi="Arial" w:cs="Arial"/>
          <w:sz w:val="22"/>
          <w:szCs w:val="22"/>
        </w:rPr>
        <w:t xml:space="preserve">, and the absolute dates provided by these objects </w:t>
      </w:r>
      <w:r w:rsidR="00985AC1">
        <w:rPr>
          <w:rFonts w:ascii="Arial" w:hAnsi="Arial" w:cs="Arial"/>
          <w:sz w:val="22"/>
          <w:szCs w:val="22"/>
        </w:rPr>
        <w:t>are the basis for the typological sequences of many</w:t>
      </w:r>
      <w:r>
        <w:rPr>
          <w:rFonts w:ascii="Arial" w:hAnsi="Arial" w:cs="Arial"/>
          <w:sz w:val="22"/>
          <w:szCs w:val="22"/>
        </w:rPr>
        <w:t xml:space="preserve"> other artefacts</w:t>
      </w:r>
      <w:r w:rsidR="00985AC1">
        <w:rPr>
          <w:rFonts w:ascii="Arial" w:hAnsi="Arial" w:cs="Arial"/>
          <w:sz w:val="22"/>
          <w:szCs w:val="22"/>
        </w:rPr>
        <w:t>, as well as the dating of</w:t>
      </w:r>
      <w:r w:rsidR="001D10D1">
        <w:rPr>
          <w:rFonts w:ascii="Arial" w:hAnsi="Arial" w:cs="Arial"/>
          <w:sz w:val="22"/>
          <w:szCs w:val="22"/>
        </w:rPr>
        <w:t xml:space="preserve"> excavated</w:t>
      </w:r>
      <w:r w:rsidR="00985AC1">
        <w:rPr>
          <w:rFonts w:ascii="Arial" w:hAnsi="Arial" w:cs="Arial"/>
          <w:sz w:val="22"/>
          <w:szCs w:val="22"/>
        </w:rPr>
        <w:t xml:space="preserve"> sites.</w:t>
      </w:r>
    </w:p>
    <w:p w14:paraId="77C0F49A" w14:textId="36540453" w:rsidR="001141D0" w:rsidRDefault="001141D0" w:rsidP="006B5C66">
      <w:pPr>
        <w:jc w:val="both"/>
        <w:rPr>
          <w:rFonts w:ascii="Arial" w:hAnsi="Arial" w:cs="Arial"/>
          <w:sz w:val="22"/>
          <w:szCs w:val="22"/>
        </w:rPr>
      </w:pPr>
    </w:p>
    <w:p w14:paraId="6EA4F128" w14:textId="63E92DF6" w:rsidR="007310DF" w:rsidRDefault="00EF73CA" w:rsidP="00436058">
      <w:pPr>
        <w:jc w:val="both"/>
        <w:rPr>
          <w:rFonts w:ascii="Arial" w:hAnsi="Arial" w:cs="Arial"/>
          <w:sz w:val="22"/>
          <w:szCs w:val="22"/>
        </w:rPr>
      </w:pPr>
      <w:r>
        <w:rPr>
          <w:rFonts w:ascii="Arial" w:hAnsi="Arial" w:cs="Arial"/>
          <w:sz w:val="22"/>
          <w:szCs w:val="22"/>
        </w:rPr>
        <w:t>Numismatics</w:t>
      </w:r>
      <w:r w:rsidR="00264C3E">
        <w:rPr>
          <w:rFonts w:ascii="Arial" w:hAnsi="Arial" w:cs="Arial"/>
          <w:sz w:val="22"/>
          <w:szCs w:val="22"/>
        </w:rPr>
        <w:t>,</w:t>
      </w:r>
      <w:r>
        <w:rPr>
          <w:rFonts w:ascii="Arial" w:hAnsi="Arial" w:cs="Arial"/>
          <w:sz w:val="22"/>
          <w:szCs w:val="22"/>
        </w:rPr>
        <w:t xml:space="preserve"> </w:t>
      </w:r>
      <w:r w:rsidR="00985AC1">
        <w:rPr>
          <w:rFonts w:ascii="Arial" w:hAnsi="Arial" w:cs="Arial"/>
          <w:sz w:val="22"/>
          <w:szCs w:val="22"/>
        </w:rPr>
        <w:t>the study of coins</w:t>
      </w:r>
      <w:r w:rsidR="005547DE">
        <w:rPr>
          <w:rFonts w:ascii="Arial" w:hAnsi="Arial" w:cs="Arial"/>
          <w:sz w:val="22"/>
          <w:szCs w:val="22"/>
        </w:rPr>
        <w:t xml:space="preserve"> </w:t>
      </w:r>
      <w:r w:rsidR="00985AC1">
        <w:rPr>
          <w:rFonts w:ascii="Arial" w:hAnsi="Arial" w:cs="Arial"/>
          <w:sz w:val="22"/>
          <w:szCs w:val="22"/>
        </w:rPr>
        <w:t>and currency</w:t>
      </w:r>
      <w:r w:rsidR="00677373">
        <w:rPr>
          <w:rFonts w:ascii="Arial" w:hAnsi="Arial" w:cs="Arial"/>
          <w:sz w:val="22"/>
          <w:szCs w:val="22"/>
        </w:rPr>
        <w:t>, is one of the oldest historical disciplin</w:t>
      </w:r>
      <w:r w:rsidR="007155A1">
        <w:rPr>
          <w:rFonts w:ascii="Arial" w:hAnsi="Arial" w:cs="Arial"/>
          <w:sz w:val="22"/>
          <w:szCs w:val="22"/>
        </w:rPr>
        <w:t>es</w:t>
      </w:r>
      <w:r w:rsidR="00436058">
        <w:rPr>
          <w:rFonts w:ascii="Arial" w:hAnsi="Arial" w:cs="Arial"/>
          <w:sz w:val="22"/>
          <w:szCs w:val="22"/>
        </w:rPr>
        <w:t xml:space="preserve"> in </w:t>
      </w:r>
      <w:r w:rsidR="007310DF">
        <w:rPr>
          <w:rFonts w:ascii="Arial" w:hAnsi="Arial" w:cs="Arial"/>
          <w:sz w:val="22"/>
          <w:szCs w:val="22"/>
        </w:rPr>
        <w:t>western academia</w:t>
      </w:r>
      <w:r w:rsidR="007155A1">
        <w:rPr>
          <w:rFonts w:ascii="Arial" w:hAnsi="Arial" w:cs="Arial"/>
          <w:sz w:val="22"/>
          <w:szCs w:val="22"/>
        </w:rPr>
        <w:t>. T</w:t>
      </w:r>
      <w:r w:rsidR="005547DE">
        <w:rPr>
          <w:rFonts w:ascii="Arial" w:hAnsi="Arial" w:cs="Arial"/>
          <w:sz w:val="22"/>
          <w:szCs w:val="22"/>
        </w:rPr>
        <w:t>raditionally,</w:t>
      </w:r>
      <w:r w:rsidR="00C467DC">
        <w:rPr>
          <w:rFonts w:ascii="Arial" w:hAnsi="Arial" w:cs="Arial"/>
          <w:sz w:val="22"/>
          <w:szCs w:val="22"/>
        </w:rPr>
        <w:t xml:space="preserve"> </w:t>
      </w:r>
      <w:r w:rsidR="0039657A">
        <w:rPr>
          <w:rFonts w:ascii="Arial" w:hAnsi="Arial" w:cs="Arial"/>
          <w:sz w:val="22"/>
          <w:szCs w:val="22"/>
        </w:rPr>
        <w:t xml:space="preserve">numismatic knowledge was based on the </w:t>
      </w:r>
      <w:r w:rsidR="005547DE">
        <w:rPr>
          <w:rFonts w:ascii="Arial" w:hAnsi="Arial" w:cs="Arial"/>
          <w:sz w:val="22"/>
          <w:szCs w:val="22"/>
        </w:rPr>
        <w:t>study and arrangement of coin types into chronological sequences</w:t>
      </w:r>
      <w:r w:rsidR="007310DF">
        <w:rPr>
          <w:rFonts w:ascii="Arial" w:hAnsi="Arial" w:cs="Arial"/>
          <w:sz w:val="22"/>
          <w:szCs w:val="22"/>
        </w:rPr>
        <w:t>,</w:t>
      </w:r>
      <w:r w:rsidR="005547DE">
        <w:rPr>
          <w:rFonts w:ascii="Arial" w:hAnsi="Arial" w:cs="Arial"/>
          <w:sz w:val="22"/>
          <w:szCs w:val="22"/>
        </w:rPr>
        <w:t xml:space="preserve"> </w:t>
      </w:r>
      <w:r w:rsidR="007155A1">
        <w:rPr>
          <w:rFonts w:ascii="Arial" w:hAnsi="Arial" w:cs="Arial"/>
          <w:sz w:val="22"/>
          <w:szCs w:val="22"/>
        </w:rPr>
        <w:t>determined by</w:t>
      </w:r>
      <w:r w:rsidR="005547DE">
        <w:rPr>
          <w:rFonts w:ascii="Arial" w:hAnsi="Arial" w:cs="Arial"/>
          <w:sz w:val="22"/>
          <w:szCs w:val="22"/>
        </w:rPr>
        <w:t xml:space="preserve"> the reigns of </w:t>
      </w:r>
      <w:r w:rsidR="00BB0853">
        <w:rPr>
          <w:rFonts w:ascii="Arial" w:hAnsi="Arial" w:cs="Arial"/>
          <w:sz w:val="22"/>
          <w:szCs w:val="22"/>
        </w:rPr>
        <w:t xml:space="preserve">rulers </w:t>
      </w:r>
      <w:r w:rsidR="005547DE">
        <w:rPr>
          <w:rFonts w:ascii="Arial" w:hAnsi="Arial" w:cs="Arial"/>
          <w:sz w:val="22"/>
          <w:szCs w:val="22"/>
        </w:rPr>
        <w:t>as well as historical events.</w:t>
      </w:r>
      <w:r w:rsidR="00731E3D">
        <w:rPr>
          <w:rFonts w:ascii="Arial" w:hAnsi="Arial" w:cs="Arial"/>
          <w:sz w:val="22"/>
          <w:szCs w:val="22"/>
        </w:rPr>
        <w:t xml:space="preserve"> </w:t>
      </w:r>
      <w:r w:rsidR="00436058">
        <w:rPr>
          <w:rFonts w:ascii="Arial" w:hAnsi="Arial" w:cs="Arial"/>
          <w:sz w:val="22"/>
          <w:szCs w:val="22"/>
        </w:rPr>
        <w:t>The 20th century saw a greater focus on the e</w:t>
      </w:r>
      <w:r w:rsidR="0039657A">
        <w:rPr>
          <w:rFonts w:ascii="Arial" w:hAnsi="Arial" w:cs="Arial"/>
          <w:sz w:val="22"/>
          <w:szCs w:val="22"/>
        </w:rPr>
        <w:t>xamination of coins contained in hoards</w:t>
      </w:r>
      <w:r w:rsidR="00731E3D">
        <w:rPr>
          <w:rFonts w:ascii="Arial" w:hAnsi="Arial" w:cs="Arial"/>
          <w:sz w:val="22"/>
          <w:szCs w:val="22"/>
        </w:rPr>
        <w:t xml:space="preserve"> to </w:t>
      </w:r>
      <w:r w:rsidR="00436058">
        <w:rPr>
          <w:rFonts w:ascii="Arial" w:hAnsi="Arial" w:cs="Arial"/>
          <w:sz w:val="22"/>
          <w:szCs w:val="22"/>
        </w:rPr>
        <w:t xml:space="preserve">better </w:t>
      </w:r>
      <w:r w:rsidR="00731E3D">
        <w:rPr>
          <w:rFonts w:ascii="Arial" w:hAnsi="Arial" w:cs="Arial"/>
          <w:sz w:val="22"/>
          <w:szCs w:val="22"/>
        </w:rPr>
        <w:t>understand coin production and supply, as well as circulation patterns</w:t>
      </w:r>
      <w:r w:rsidR="00C467DC">
        <w:rPr>
          <w:rFonts w:ascii="Arial" w:hAnsi="Arial" w:cs="Arial"/>
          <w:sz w:val="22"/>
          <w:szCs w:val="22"/>
        </w:rPr>
        <w:t>,</w:t>
      </w:r>
      <w:r w:rsidR="00436058">
        <w:rPr>
          <w:rFonts w:ascii="Arial" w:hAnsi="Arial" w:cs="Arial"/>
          <w:sz w:val="22"/>
          <w:szCs w:val="22"/>
        </w:rPr>
        <w:t xml:space="preserve"> </w:t>
      </w:r>
      <w:r w:rsidR="007310DF">
        <w:rPr>
          <w:rFonts w:ascii="Arial" w:hAnsi="Arial" w:cs="Arial"/>
          <w:sz w:val="22"/>
          <w:szCs w:val="22"/>
        </w:rPr>
        <w:t>while</w:t>
      </w:r>
      <w:r w:rsidR="0039657A">
        <w:rPr>
          <w:rFonts w:ascii="Arial" w:hAnsi="Arial" w:cs="Arial"/>
          <w:sz w:val="22"/>
          <w:szCs w:val="22"/>
        </w:rPr>
        <w:t xml:space="preserve"> t</w:t>
      </w:r>
      <w:r w:rsidR="00E71166">
        <w:rPr>
          <w:rFonts w:ascii="Arial" w:hAnsi="Arial" w:cs="Arial"/>
          <w:sz w:val="22"/>
          <w:szCs w:val="22"/>
        </w:rPr>
        <w:t xml:space="preserve">he </w:t>
      </w:r>
      <w:r w:rsidR="000D10C3">
        <w:rPr>
          <w:rFonts w:ascii="Arial" w:hAnsi="Arial" w:cs="Arial"/>
          <w:sz w:val="22"/>
          <w:szCs w:val="22"/>
        </w:rPr>
        <w:t>analysis</w:t>
      </w:r>
      <w:r w:rsidR="00E71166">
        <w:rPr>
          <w:rFonts w:ascii="Arial" w:hAnsi="Arial" w:cs="Arial"/>
          <w:sz w:val="22"/>
          <w:szCs w:val="22"/>
        </w:rPr>
        <w:t xml:space="preserve"> of coins as archaeological </w:t>
      </w:r>
      <w:r w:rsidR="000D10C3">
        <w:rPr>
          <w:rFonts w:ascii="Arial" w:hAnsi="Arial" w:cs="Arial"/>
          <w:sz w:val="22"/>
          <w:szCs w:val="22"/>
        </w:rPr>
        <w:t>artefacts (‘site</w:t>
      </w:r>
      <w:r w:rsidR="00305B64">
        <w:rPr>
          <w:rFonts w:ascii="Arial" w:hAnsi="Arial" w:cs="Arial"/>
          <w:sz w:val="22"/>
          <w:szCs w:val="22"/>
        </w:rPr>
        <w:t>-</w:t>
      </w:r>
      <w:r w:rsidR="000D10C3">
        <w:rPr>
          <w:rFonts w:ascii="Arial" w:hAnsi="Arial" w:cs="Arial"/>
          <w:sz w:val="22"/>
          <w:szCs w:val="22"/>
        </w:rPr>
        <w:t>finds’)</w:t>
      </w:r>
      <w:r w:rsidR="00E71166">
        <w:rPr>
          <w:rFonts w:ascii="Arial" w:hAnsi="Arial" w:cs="Arial"/>
          <w:sz w:val="22"/>
          <w:szCs w:val="22"/>
        </w:rPr>
        <w:t xml:space="preserve"> </w:t>
      </w:r>
      <w:r w:rsidR="00BB0853">
        <w:rPr>
          <w:rFonts w:ascii="Arial" w:hAnsi="Arial" w:cs="Arial"/>
          <w:sz w:val="22"/>
          <w:szCs w:val="22"/>
        </w:rPr>
        <w:t>developed</w:t>
      </w:r>
      <w:r w:rsidR="0039657A">
        <w:rPr>
          <w:rFonts w:ascii="Arial" w:hAnsi="Arial" w:cs="Arial"/>
          <w:sz w:val="22"/>
          <w:szCs w:val="22"/>
        </w:rPr>
        <w:t xml:space="preserve"> </w:t>
      </w:r>
      <w:r w:rsidR="00CD2D45">
        <w:rPr>
          <w:rFonts w:ascii="Arial" w:hAnsi="Arial" w:cs="Arial"/>
          <w:sz w:val="22"/>
          <w:szCs w:val="22"/>
        </w:rPr>
        <w:t xml:space="preserve">in the UK </w:t>
      </w:r>
      <w:r w:rsidR="00AA0803">
        <w:rPr>
          <w:rFonts w:ascii="Arial" w:hAnsi="Arial" w:cs="Arial"/>
          <w:sz w:val="22"/>
          <w:szCs w:val="22"/>
        </w:rPr>
        <w:t xml:space="preserve">from the 1970s </w:t>
      </w:r>
      <w:r w:rsidR="00CD2D45">
        <w:rPr>
          <w:rFonts w:ascii="Arial" w:hAnsi="Arial" w:cs="Arial"/>
          <w:sz w:val="22"/>
          <w:szCs w:val="22"/>
        </w:rPr>
        <w:t>(e.g., Casey &amp; Reece 1974</w:t>
      </w:r>
      <w:r w:rsidR="00FC1DB0">
        <w:rPr>
          <w:rFonts w:ascii="Arial" w:hAnsi="Arial" w:cs="Arial"/>
          <w:sz w:val="22"/>
          <w:szCs w:val="22"/>
        </w:rPr>
        <w:t>;</w:t>
      </w:r>
      <w:r w:rsidR="00CD2D45">
        <w:rPr>
          <w:rFonts w:ascii="Arial" w:hAnsi="Arial" w:cs="Arial"/>
          <w:sz w:val="22"/>
          <w:szCs w:val="22"/>
        </w:rPr>
        <w:t xml:space="preserve"> Casey 1986</w:t>
      </w:r>
      <w:r w:rsidR="00FC1DB0">
        <w:rPr>
          <w:rFonts w:ascii="Arial" w:hAnsi="Arial" w:cs="Arial"/>
          <w:sz w:val="22"/>
          <w:szCs w:val="22"/>
        </w:rPr>
        <w:t>; Reece 1987; Reece 1995)</w:t>
      </w:r>
      <w:r w:rsidR="0039657A">
        <w:rPr>
          <w:rFonts w:ascii="Arial" w:hAnsi="Arial" w:cs="Arial"/>
          <w:sz w:val="22"/>
          <w:szCs w:val="22"/>
        </w:rPr>
        <w:t>.</w:t>
      </w:r>
    </w:p>
    <w:p w14:paraId="36B302BC" w14:textId="77777777" w:rsidR="007310DF" w:rsidRDefault="007310DF" w:rsidP="00436058">
      <w:pPr>
        <w:jc w:val="both"/>
        <w:rPr>
          <w:rFonts w:ascii="Arial" w:hAnsi="Arial" w:cs="Arial"/>
          <w:sz w:val="22"/>
          <w:szCs w:val="22"/>
        </w:rPr>
      </w:pPr>
    </w:p>
    <w:p w14:paraId="722A5325" w14:textId="52FBBBD2" w:rsidR="007310DF" w:rsidRDefault="005765D7" w:rsidP="00436058">
      <w:pPr>
        <w:jc w:val="both"/>
        <w:rPr>
          <w:rFonts w:ascii="Arial" w:hAnsi="Arial" w:cs="Arial"/>
          <w:sz w:val="22"/>
          <w:szCs w:val="22"/>
        </w:rPr>
      </w:pPr>
      <w:r>
        <w:rPr>
          <w:rFonts w:ascii="Arial" w:hAnsi="Arial" w:cs="Arial"/>
          <w:sz w:val="22"/>
          <w:szCs w:val="22"/>
        </w:rPr>
        <w:t xml:space="preserve">In the UK, </w:t>
      </w:r>
      <w:r w:rsidR="0039657A">
        <w:rPr>
          <w:rFonts w:ascii="Arial" w:hAnsi="Arial" w:cs="Arial"/>
          <w:sz w:val="22"/>
          <w:szCs w:val="22"/>
        </w:rPr>
        <w:t>‘</w:t>
      </w:r>
      <w:r>
        <w:rPr>
          <w:rFonts w:ascii="Arial" w:hAnsi="Arial" w:cs="Arial"/>
          <w:sz w:val="22"/>
          <w:szCs w:val="22"/>
        </w:rPr>
        <w:t>a</w:t>
      </w:r>
      <w:r w:rsidR="0039657A">
        <w:rPr>
          <w:rFonts w:ascii="Arial" w:hAnsi="Arial" w:cs="Arial"/>
          <w:sz w:val="22"/>
          <w:szCs w:val="22"/>
        </w:rPr>
        <w:t xml:space="preserve">pplied numismatics’ is often used to describe </w:t>
      </w:r>
      <w:r w:rsidR="001F4626">
        <w:rPr>
          <w:rFonts w:ascii="Arial" w:hAnsi="Arial" w:cs="Arial"/>
          <w:sz w:val="22"/>
          <w:szCs w:val="22"/>
        </w:rPr>
        <w:t>an</w:t>
      </w:r>
      <w:r w:rsidR="00C467DC">
        <w:rPr>
          <w:rFonts w:ascii="Arial" w:hAnsi="Arial" w:cs="Arial"/>
          <w:sz w:val="22"/>
          <w:szCs w:val="22"/>
        </w:rPr>
        <w:t xml:space="preserve"> </w:t>
      </w:r>
      <w:r w:rsidR="000D10C3">
        <w:rPr>
          <w:rFonts w:ascii="Arial" w:hAnsi="Arial" w:cs="Arial"/>
          <w:sz w:val="22"/>
          <w:szCs w:val="22"/>
        </w:rPr>
        <w:t xml:space="preserve">investigation of archaeologically-recovered coins, but this term is </w:t>
      </w:r>
      <w:r w:rsidR="007E14FC">
        <w:rPr>
          <w:rFonts w:ascii="Arial" w:hAnsi="Arial" w:cs="Arial"/>
          <w:sz w:val="22"/>
          <w:szCs w:val="22"/>
        </w:rPr>
        <w:t>loosely</w:t>
      </w:r>
      <w:r w:rsidR="000D10C3">
        <w:rPr>
          <w:rFonts w:ascii="Arial" w:hAnsi="Arial" w:cs="Arial"/>
          <w:sz w:val="22"/>
          <w:szCs w:val="22"/>
        </w:rPr>
        <w:t xml:space="preserve"> defined and can mean different things to numismatists, historians and archaeologists</w:t>
      </w:r>
      <w:r w:rsidR="005C6A1E">
        <w:rPr>
          <w:rFonts w:ascii="Arial" w:hAnsi="Arial" w:cs="Arial"/>
          <w:sz w:val="22"/>
          <w:szCs w:val="22"/>
        </w:rPr>
        <w:t xml:space="preserve">. For example, </w:t>
      </w:r>
      <w:r>
        <w:rPr>
          <w:rFonts w:ascii="Arial" w:hAnsi="Arial" w:cs="Arial"/>
          <w:sz w:val="22"/>
          <w:szCs w:val="22"/>
        </w:rPr>
        <w:t xml:space="preserve">the introduction to ‘The Oxford Handbook of Greek and Roman Coinage’ highlights </w:t>
      </w:r>
      <w:r w:rsidRPr="005765D7">
        <w:rPr>
          <w:rFonts w:ascii="Arial" w:hAnsi="Arial" w:cs="Arial"/>
          <w:sz w:val="22"/>
          <w:szCs w:val="22"/>
        </w:rPr>
        <w:t>the application of numismatic knowledge to the study of history, art history</w:t>
      </w:r>
      <w:r w:rsidR="00264C3E">
        <w:rPr>
          <w:rFonts w:ascii="Arial" w:hAnsi="Arial" w:cs="Arial"/>
          <w:sz w:val="22"/>
          <w:szCs w:val="22"/>
        </w:rPr>
        <w:t xml:space="preserve"> and</w:t>
      </w:r>
      <w:r w:rsidRPr="005765D7">
        <w:rPr>
          <w:rFonts w:ascii="Arial" w:hAnsi="Arial" w:cs="Arial"/>
          <w:sz w:val="22"/>
          <w:szCs w:val="22"/>
        </w:rPr>
        <w:t xml:space="preserve"> economic history</w:t>
      </w:r>
      <w:r>
        <w:rPr>
          <w:rFonts w:ascii="Arial" w:hAnsi="Arial" w:cs="Arial"/>
          <w:sz w:val="22"/>
          <w:szCs w:val="22"/>
        </w:rPr>
        <w:t>, but does not mention archaeology</w:t>
      </w:r>
      <w:r w:rsidR="00FC1DB0">
        <w:rPr>
          <w:rFonts w:ascii="Arial" w:hAnsi="Arial" w:cs="Arial"/>
          <w:sz w:val="22"/>
          <w:szCs w:val="22"/>
        </w:rPr>
        <w:t xml:space="preserve"> </w:t>
      </w:r>
      <w:r w:rsidR="00905DDD">
        <w:rPr>
          <w:rFonts w:ascii="Arial" w:hAnsi="Arial" w:cs="Arial"/>
          <w:sz w:val="22"/>
          <w:szCs w:val="22"/>
        </w:rPr>
        <w:t xml:space="preserve">or social history </w:t>
      </w:r>
      <w:r w:rsidR="00FC1DB0">
        <w:rPr>
          <w:rFonts w:ascii="Arial" w:hAnsi="Arial" w:cs="Arial"/>
          <w:sz w:val="22"/>
          <w:szCs w:val="22"/>
        </w:rPr>
        <w:t>(Metcalf 2012)</w:t>
      </w:r>
      <w:r w:rsidR="005C6A1E">
        <w:rPr>
          <w:rFonts w:ascii="Arial" w:hAnsi="Arial" w:cs="Arial"/>
          <w:sz w:val="22"/>
          <w:szCs w:val="22"/>
        </w:rPr>
        <w:t>.</w:t>
      </w:r>
    </w:p>
    <w:p w14:paraId="020EA9CB" w14:textId="77777777" w:rsidR="007310DF" w:rsidRDefault="007310DF" w:rsidP="00436058">
      <w:pPr>
        <w:jc w:val="both"/>
        <w:rPr>
          <w:rFonts w:ascii="Arial" w:hAnsi="Arial" w:cs="Arial"/>
          <w:sz w:val="22"/>
          <w:szCs w:val="22"/>
        </w:rPr>
      </w:pPr>
    </w:p>
    <w:p w14:paraId="47732531" w14:textId="377212D3" w:rsidR="005C6A1E" w:rsidRPr="005C6A1E" w:rsidRDefault="005C6A1E" w:rsidP="00436058">
      <w:pPr>
        <w:jc w:val="both"/>
        <w:rPr>
          <w:rFonts w:ascii="Arial" w:hAnsi="Arial" w:cs="Arial"/>
          <w:sz w:val="22"/>
          <w:szCs w:val="22"/>
        </w:rPr>
      </w:pPr>
      <w:r w:rsidRPr="005C6A1E">
        <w:rPr>
          <w:rFonts w:ascii="Arial" w:hAnsi="Arial" w:cs="Arial"/>
          <w:sz w:val="22"/>
          <w:szCs w:val="22"/>
        </w:rPr>
        <w:t xml:space="preserve">In </w:t>
      </w:r>
      <w:r>
        <w:rPr>
          <w:rFonts w:ascii="Arial" w:hAnsi="Arial" w:cs="Arial"/>
          <w:sz w:val="22"/>
          <w:szCs w:val="22"/>
        </w:rPr>
        <w:t xml:space="preserve">order to avoid ambiguity and confusion in the future, </w:t>
      </w:r>
      <w:r w:rsidRPr="00BE0843">
        <w:rPr>
          <w:rFonts w:ascii="Arial" w:hAnsi="Arial" w:cs="Arial"/>
          <w:b/>
          <w:bCs/>
          <w:sz w:val="22"/>
          <w:szCs w:val="22"/>
        </w:rPr>
        <w:t>archaeological numismatics</w:t>
      </w:r>
      <w:r w:rsidRPr="005C6A1E">
        <w:rPr>
          <w:rFonts w:ascii="Arial" w:hAnsi="Arial" w:cs="Arial"/>
          <w:sz w:val="22"/>
          <w:szCs w:val="22"/>
        </w:rPr>
        <w:t xml:space="preserve"> would be a clearer </w:t>
      </w:r>
      <w:r>
        <w:rPr>
          <w:rFonts w:ascii="Arial" w:hAnsi="Arial" w:cs="Arial"/>
          <w:sz w:val="22"/>
          <w:szCs w:val="22"/>
        </w:rPr>
        <w:t>designation</w:t>
      </w:r>
      <w:r w:rsidRPr="005C6A1E">
        <w:rPr>
          <w:rFonts w:ascii="Arial" w:hAnsi="Arial" w:cs="Arial"/>
          <w:sz w:val="22"/>
          <w:szCs w:val="22"/>
        </w:rPr>
        <w:t xml:space="preserve"> for the</w:t>
      </w:r>
      <w:r>
        <w:rPr>
          <w:rFonts w:ascii="Arial" w:hAnsi="Arial" w:cs="Arial"/>
          <w:sz w:val="22"/>
          <w:szCs w:val="22"/>
        </w:rPr>
        <w:t xml:space="preserve"> </w:t>
      </w:r>
      <w:r w:rsidRPr="005C6A1E">
        <w:rPr>
          <w:rFonts w:ascii="Arial" w:hAnsi="Arial" w:cs="Arial"/>
          <w:sz w:val="22"/>
          <w:szCs w:val="22"/>
        </w:rPr>
        <w:t>study of archaeologically-recovered coins, including site</w:t>
      </w:r>
      <w:r w:rsidR="00305B64">
        <w:rPr>
          <w:rFonts w:ascii="Arial" w:hAnsi="Arial" w:cs="Arial"/>
          <w:sz w:val="22"/>
          <w:szCs w:val="22"/>
        </w:rPr>
        <w:t>-</w:t>
      </w:r>
      <w:r w:rsidRPr="005C6A1E">
        <w:rPr>
          <w:rFonts w:ascii="Arial" w:hAnsi="Arial" w:cs="Arial"/>
          <w:sz w:val="22"/>
          <w:szCs w:val="22"/>
        </w:rPr>
        <w:t>finds</w:t>
      </w:r>
      <w:r w:rsidR="00AA0803">
        <w:rPr>
          <w:rFonts w:ascii="Arial" w:hAnsi="Arial" w:cs="Arial"/>
          <w:sz w:val="22"/>
          <w:szCs w:val="22"/>
        </w:rPr>
        <w:t xml:space="preserve"> (see </w:t>
      </w:r>
      <w:hyperlink r:id="rId12" w:history="1">
        <w:r w:rsidR="00AA0803" w:rsidRPr="00AA0803">
          <w:rPr>
            <w:rStyle w:val="Hyperlink"/>
            <w:rFonts w:ascii="Arial" w:hAnsi="Arial" w:cs="Arial"/>
            <w:sz w:val="22"/>
            <w:szCs w:val="22"/>
          </w:rPr>
          <w:t>The Journal of Archaeological Numismatics</w:t>
        </w:r>
      </w:hyperlink>
      <w:r w:rsidR="00AA0803">
        <w:rPr>
          <w:rFonts w:ascii="Arial" w:hAnsi="Arial" w:cs="Arial"/>
          <w:sz w:val="22"/>
          <w:szCs w:val="22"/>
        </w:rPr>
        <w:t>)</w:t>
      </w:r>
      <w:r>
        <w:rPr>
          <w:rFonts w:ascii="Arial" w:hAnsi="Arial" w:cs="Arial"/>
          <w:sz w:val="22"/>
          <w:szCs w:val="22"/>
        </w:rPr>
        <w:t>.</w:t>
      </w:r>
    </w:p>
    <w:p w14:paraId="6554ABD9" w14:textId="27669D3F" w:rsidR="00611E77" w:rsidRPr="00B52E67" w:rsidRDefault="00611E77" w:rsidP="006B5C66">
      <w:pPr>
        <w:jc w:val="both"/>
        <w:rPr>
          <w:rFonts w:ascii="Arial" w:hAnsi="Arial" w:cs="Arial"/>
          <w:sz w:val="22"/>
          <w:szCs w:val="22"/>
        </w:rPr>
      </w:pPr>
    </w:p>
    <w:p w14:paraId="1BF75E3F" w14:textId="5BE88510" w:rsidR="005C6A1E" w:rsidRPr="00B52E67" w:rsidRDefault="005C6A1E" w:rsidP="006B5C66">
      <w:pPr>
        <w:jc w:val="both"/>
        <w:rPr>
          <w:rFonts w:ascii="Arial" w:hAnsi="Arial" w:cs="Arial"/>
          <w:sz w:val="22"/>
          <w:szCs w:val="22"/>
        </w:rPr>
      </w:pPr>
      <w:r w:rsidRPr="00B52E67">
        <w:rPr>
          <w:rFonts w:ascii="Arial" w:hAnsi="Arial" w:cs="Arial"/>
          <w:sz w:val="22"/>
          <w:szCs w:val="22"/>
        </w:rPr>
        <w:t xml:space="preserve">The great variation in the content and quality of specialist </w:t>
      </w:r>
      <w:r w:rsidR="00B52E67" w:rsidRPr="00B52E67">
        <w:rPr>
          <w:rFonts w:ascii="Arial" w:hAnsi="Arial" w:cs="Arial"/>
          <w:sz w:val="22"/>
          <w:szCs w:val="22"/>
        </w:rPr>
        <w:t xml:space="preserve">archaeological </w:t>
      </w:r>
      <w:r w:rsidRPr="00B52E67">
        <w:rPr>
          <w:rFonts w:ascii="Arial" w:hAnsi="Arial" w:cs="Arial"/>
          <w:sz w:val="22"/>
          <w:szCs w:val="22"/>
        </w:rPr>
        <w:t xml:space="preserve">artefact reports, including Roman coins, was highlighted as a significant concern in the HE-funded Project 7090 </w:t>
      </w:r>
      <w:r w:rsidRPr="00B52E67">
        <w:rPr>
          <w:rFonts w:ascii="Arial" w:hAnsi="Arial" w:cs="Arial"/>
          <w:i/>
          <w:iCs/>
          <w:sz w:val="22"/>
          <w:szCs w:val="22"/>
        </w:rPr>
        <w:t xml:space="preserve">Review of the Standard of Reporting on Archaeological Artefacts in England </w:t>
      </w:r>
      <w:r w:rsidRPr="00B52E67">
        <w:rPr>
          <w:rFonts w:ascii="Arial" w:hAnsi="Arial" w:cs="Arial"/>
          <w:sz w:val="22"/>
          <w:szCs w:val="22"/>
        </w:rPr>
        <w:t xml:space="preserve">(Cattermole 2017). This project </w:t>
      </w:r>
      <w:r w:rsidR="00AF5A41">
        <w:rPr>
          <w:rFonts w:ascii="Arial" w:hAnsi="Arial" w:cs="Arial"/>
          <w:sz w:val="22"/>
          <w:szCs w:val="22"/>
        </w:rPr>
        <w:t>looked at</w:t>
      </w:r>
      <w:r w:rsidRPr="00B52E67">
        <w:rPr>
          <w:rFonts w:ascii="Arial" w:hAnsi="Arial" w:cs="Arial"/>
          <w:sz w:val="22"/>
          <w:szCs w:val="22"/>
        </w:rPr>
        <w:t xml:space="preserve"> over 1,000 unpublished specialist artefact reports from grey literature and a further 61 published specialist artefact reports from journal articles.</w:t>
      </w:r>
      <w:r w:rsidR="00B52E67">
        <w:rPr>
          <w:rFonts w:ascii="Arial" w:hAnsi="Arial" w:cs="Arial"/>
          <w:sz w:val="22"/>
          <w:szCs w:val="22"/>
        </w:rPr>
        <w:t xml:space="preserve"> </w:t>
      </w:r>
      <w:r w:rsidRPr="00B52E67">
        <w:rPr>
          <w:rFonts w:ascii="Arial" w:hAnsi="Arial" w:cs="Arial"/>
          <w:sz w:val="22"/>
          <w:szCs w:val="22"/>
        </w:rPr>
        <w:t>These were scored against a checklist of criteria to assess the reports’ overall quality,</w:t>
      </w:r>
      <w:r w:rsidR="00B52E67">
        <w:rPr>
          <w:rFonts w:ascii="Arial" w:hAnsi="Arial" w:cs="Arial"/>
          <w:sz w:val="22"/>
          <w:szCs w:val="22"/>
        </w:rPr>
        <w:t xml:space="preserve"> </w:t>
      </w:r>
      <w:r w:rsidRPr="00B52E67">
        <w:rPr>
          <w:rFonts w:ascii="Arial" w:hAnsi="Arial" w:cs="Arial"/>
          <w:sz w:val="22"/>
          <w:szCs w:val="22"/>
        </w:rPr>
        <w:t>which highlighted that existing standards and guidance were not being used effectively:</w:t>
      </w:r>
    </w:p>
    <w:p w14:paraId="7BE74D0F" w14:textId="77777777" w:rsidR="005C6A1E" w:rsidRPr="00B52E67" w:rsidRDefault="005C6A1E" w:rsidP="007310DF">
      <w:pPr>
        <w:pStyle w:val="ListParagraph"/>
        <w:numPr>
          <w:ilvl w:val="0"/>
          <w:numId w:val="5"/>
        </w:numPr>
        <w:autoSpaceDE w:val="0"/>
        <w:autoSpaceDN w:val="0"/>
        <w:adjustRightInd w:val="0"/>
        <w:ind w:left="709" w:hanging="283"/>
        <w:rPr>
          <w:rFonts w:ascii="Arial" w:eastAsiaTheme="minorHAnsi" w:hAnsi="Arial" w:cs="Arial"/>
          <w:color w:val="000000"/>
          <w:sz w:val="22"/>
          <w:szCs w:val="22"/>
          <w:lang w:eastAsia="en-US"/>
        </w:rPr>
      </w:pPr>
      <w:r w:rsidRPr="00B52E67">
        <w:rPr>
          <w:rFonts w:ascii="Arial" w:eastAsiaTheme="minorHAnsi" w:hAnsi="Arial" w:cs="Arial"/>
          <w:color w:val="000000"/>
          <w:sz w:val="22"/>
          <w:szCs w:val="22"/>
          <w:lang w:eastAsia="en-US"/>
        </w:rPr>
        <w:t>Only 56% of specialist artefact reports met 50% or more of the criteria;</w:t>
      </w:r>
    </w:p>
    <w:p w14:paraId="73AFA0AC" w14:textId="77777777" w:rsidR="005C6A1E" w:rsidRPr="00B52E67" w:rsidRDefault="005C6A1E" w:rsidP="007310DF">
      <w:pPr>
        <w:pStyle w:val="ListParagraph"/>
        <w:numPr>
          <w:ilvl w:val="0"/>
          <w:numId w:val="5"/>
        </w:numPr>
        <w:autoSpaceDE w:val="0"/>
        <w:autoSpaceDN w:val="0"/>
        <w:adjustRightInd w:val="0"/>
        <w:ind w:left="709" w:hanging="283"/>
        <w:rPr>
          <w:rFonts w:ascii="Arial" w:eastAsiaTheme="minorHAnsi" w:hAnsi="Arial" w:cs="Arial"/>
          <w:color w:val="000000"/>
          <w:sz w:val="22"/>
          <w:szCs w:val="22"/>
          <w:lang w:eastAsia="en-US"/>
        </w:rPr>
      </w:pPr>
      <w:r w:rsidRPr="00B52E67">
        <w:rPr>
          <w:rFonts w:ascii="Arial" w:eastAsiaTheme="minorHAnsi" w:hAnsi="Arial" w:cs="Arial"/>
          <w:color w:val="000000"/>
          <w:sz w:val="22"/>
          <w:szCs w:val="22"/>
          <w:lang w:eastAsia="en-US"/>
        </w:rPr>
        <w:t>Only 12% of specialist artefact reports met 75% or more of the criteria;</w:t>
      </w:r>
    </w:p>
    <w:p w14:paraId="5A739D7F" w14:textId="794553E0" w:rsidR="00226692" w:rsidRPr="00B52E67" w:rsidRDefault="005C6A1E" w:rsidP="007310DF">
      <w:pPr>
        <w:pStyle w:val="ListParagraph"/>
        <w:numPr>
          <w:ilvl w:val="0"/>
          <w:numId w:val="5"/>
        </w:numPr>
        <w:autoSpaceDE w:val="0"/>
        <w:autoSpaceDN w:val="0"/>
        <w:adjustRightInd w:val="0"/>
        <w:ind w:left="709" w:hanging="283"/>
        <w:rPr>
          <w:rFonts w:ascii="Arial" w:eastAsiaTheme="minorHAnsi" w:hAnsi="Arial" w:cs="Arial"/>
          <w:color w:val="000000"/>
          <w:sz w:val="22"/>
          <w:szCs w:val="22"/>
          <w:lang w:eastAsia="en-US"/>
        </w:rPr>
      </w:pPr>
      <w:r w:rsidRPr="00B52E67">
        <w:rPr>
          <w:rFonts w:ascii="Arial" w:eastAsiaTheme="minorHAnsi" w:hAnsi="Arial" w:cs="Arial"/>
          <w:color w:val="000000"/>
          <w:sz w:val="22"/>
          <w:szCs w:val="22"/>
          <w:lang w:eastAsia="en-US"/>
        </w:rPr>
        <w:t>Only 0.7% of specialist artefact reports met 90% or more of the criteria.</w:t>
      </w:r>
    </w:p>
    <w:p w14:paraId="377CC0B9" w14:textId="77777777" w:rsidR="00226692" w:rsidRPr="00587EA2" w:rsidRDefault="00226692" w:rsidP="006B5C66">
      <w:pPr>
        <w:rPr>
          <w:rFonts w:ascii="Arial" w:hAnsi="Arial" w:cs="Arial"/>
          <w:sz w:val="22"/>
          <w:szCs w:val="22"/>
        </w:rPr>
      </w:pPr>
    </w:p>
    <w:p w14:paraId="582AE189" w14:textId="5E5086A1" w:rsidR="007310DF" w:rsidRDefault="00B52E67" w:rsidP="006B5C66">
      <w:pPr>
        <w:jc w:val="both"/>
        <w:rPr>
          <w:rFonts w:ascii="Arial" w:hAnsi="Arial" w:cs="Arial"/>
          <w:color w:val="000000"/>
          <w:sz w:val="22"/>
          <w:szCs w:val="22"/>
        </w:rPr>
      </w:pPr>
      <w:r w:rsidRPr="00B52E67">
        <w:rPr>
          <w:rFonts w:ascii="Arial" w:hAnsi="Arial" w:cs="Arial"/>
          <w:color w:val="000000"/>
          <w:sz w:val="22"/>
          <w:szCs w:val="22"/>
        </w:rPr>
        <w:t>Concerns about the lack of a consistent methodological approach to Roman finds reports, including coinage</w:t>
      </w:r>
      <w:r w:rsidR="00F85700">
        <w:rPr>
          <w:rFonts w:ascii="Arial" w:hAnsi="Arial" w:cs="Arial"/>
          <w:color w:val="000000"/>
          <w:sz w:val="22"/>
          <w:szCs w:val="22"/>
        </w:rPr>
        <w:t xml:space="preserve">, </w:t>
      </w:r>
      <w:r w:rsidRPr="00B52E67">
        <w:rPr>
          <w:rFonts w:ascii="Arial" w:hAnsi="Arial" w:cs="Arial"/>
          <w:color w:val="000000"/>
          <w:sz w:val="22"/>
          <w:szCs w:val="22"/>
        </w:rPr>
        <w:t>were highlighted in the H</w:t>
      </w:r>
      <w:r w:rsidR="007E14FC">
        <w:rPr>
          <w:rFonts w:ascii="Arial" w:hAnsi="Arial" w:cs="Arial"/>
          <w:color w:val="000000"/>
          <w:sz w:val="22"/>
          <w:szCs w:val="22"/>
        </w:rPr>
        <w:t>E</w:t>
      </w:r>
      <w:r w:rsidRPr="00B52E67">
        <w:rPr>
          <w:rFonts w:ascii="Arial" w:hAnsi="Arial" w:cs="Arial"/>
          <w:color w:val="000000"/>
          <w:sz w:val="22"/>
          <w:szCs w:val="22"/>
        </w:rPr>
        <w:t xml:space="preserve">-funded </w:t>
      </w:r>
      <w:r w:rsidRPr="00B52E67">
        <w:rPr>
          <w:rFonts w:ascii="Arial" w:hAnsi="Arial" w:cs="Arial"/>
          <w:i/>
          <w:iCs/>
          <w:color w:val="000000"/>
          <w:sz w:val="22"/>
          <w:szCs w:val="22"/>
        </w:rPr>
        <w:t>Rural Settlement of Roman Britain</w:t>
      </w:r>
      <w:r w:rsidRPr="00B52E67">
        <w:rPr>
          <w:rFonts w:ascii="Arial" w:hAnsi="Arial" w:cs="Arial"/>
          <w:color w:val="000000"/>
          <w:sz w:val="22"/>
          <w:szCs w:val="22"/>
        </w:rPr>
        <w:t xml:space="preserve"> project and related publications (Fulford and Holbrook 2018). For </w:t>
      </w:r>
      <w:r w:rsidR="007E14FC">
        <w:rPr>
          <w:rFonts w:ascii="Arial" w:hAnsi="Arial" w:cs="Arial"/>
          <w:color w:val="000000"/>
          <w:sz w:val="22"/>
          <w:szCs w:val="22"/>
        </w:rPr>
        <w:t>instance</w:t>
      </w:r>
      <w:r w:rsidRPr="00B52E67">
        <w:rPr>
          <w:rFonts w:ascii="Arial" w:hAnsi="Arial" w:cs="Arial"/>
          <w:color w:val="000000"/>
          <w:sz w:val="22"/>
          <w:szCs w:val="22"/>
        </w:rPr>
        <w:t xml:space="preserve">, </w:t>
      </w:r>
      <w:r w:rsidR="00A65539">
        <w:rPr>
          <w:rFonts w:ascii="Arial" w:hAnsi="Arial" w:cs="Arial"/>
          <w:color w:val="000000"/>
          <w:sz w:val="22"/>
          <w:szCs w:val="22"/>
        </w:rPr>
        <w:t xml:space="preserve">in </w:t>
      </w:r>
      <w:r w:rsidRPr="00B52E67">
        <w:rPr>
          <w:rFonts w:ascii="Arial" w:hAnsi="Arial" w:cs="Arial"/>
          <w:color w:val="000000"/>
          <w:sz w:val="22"/>
          <w:szCs w:val="22"/>
        </w:rPr>
        <w:t>the discussion paper exploring the recovery, reporting and analysis of artefacts:</w:t>
      </w:r>
    </w:p>
    <w:p w14:paraId="2C860BEE" w14:textId="77777777" w:rsidR="007310DF" w:rsidRDefault="007310DF" w:rsidP="006B5C66">
      <w:pPr>
        <w:jc w:val="both"/>
        <w:rPr>
          <w:rFonts w:ascii="Arial" w:hAnsi="Arial" w:cs="Arial"/>
          <w:i/>
          <w:iCs/>
          <w:color w:val="000000"/>
          <w:sz w:val="22"/>
          <w:szCs w:val="22"/>
        </w:rPr>
      </w:pPr>
    </w:p>
    <w:p w14:paraId="2DEEB0B9" w14:textId="001B25CE" w:rsidR="00B52E67" w:rsidRPr="00B52E67" w:rsidRDefault="00B52E67" w:rsidP="007310DF">
      <w:pPr>
        <w:ind w:left="426" w:right="379"/>
        <w:jc w:val="both"/>
        <w:rPr>
          <w:rFonts w:ascii="Arial" w:hAnsi="Arial" w:cs="Arial"/>
          <w:color w:val="000000"/>
          <w:sz w:val="22"/>
          <w:szCs w:val="22"/>
        </w:rPr>
      </w:pPr>
      <w:r w:rsidRPr="00CB7164">
        <w:rPr>
          <w:rFonts w:ascii="Arial" w:hAnsi="Arial" w:cs="Arial"/>
          <w:i/>
          <w:iCs/>
          <w:color w:val="000000"/>
          <w:sz w:val="22"/>
          <w:szCs w:val="22"/>
        </w:rPr>
        <w:t xml:space="preserve">There is, in particular, a need for considerably greater consistency, especially concerning the full quantification of artefact assemblages, and this is of fundamental </w:t>
      </w:r>
      <w:r w:rsidRPr="00CB7164">
        <w:rPr>
          <w:rFonts w:ascii="Arial" w:hAnsi="Arial" w:cs="Arial"/>
          <w:i/>
          <w:iCs/>
          <w:color w:val="000000"/>
          <w:sz w:val="22"/>
          <w:szCs w:val="22"/>
        </w:rPr>
        <w:lastRenderedPageBreak/>
        <w:t>importance if we are to capitalise on and extract maximum value from the artefacts excavated from Romano-British sites.”</w:t>
      </w:r>
      <w:r w:rsidRPr="00B52E67">
        <w:rPr>
          <w:rFonts w:ascii="Arial" w:hAnsi="Arial" w:cs="Arial"/>
          <w:color w:val="000000"/>
          <w:sz w:val="22"/>
          <w:szCs w:val="22"/>
        </w:rPr>
        <w:t xml:space="preserve"> (Brindle 2016, 1).</w:t>
      </w:r>
    </w:p>
    <w:p w14:paraId="46E373CE" w14:textId="0E555E36" w:rsidR="00587EA2" w:rsidRDefault="00587EA2" w:rsidP="006B5C66">
      <w:pPr>
        <w:rPr>
          <w:rFonts w:ascii="Arial" w:hAnsi="Arial" w:cs="Arial"/>
          <w:bCs/>
          <w:sz w:val="22"/>
          <w:szCs w:val="22"/>
        </w:rPr>
      </w:pPr>
    </w:p>
    <w:p w14:paraId="6FB46854" w14:textId="22960B87" w:rsidR="00FC1DB0" w:rsidRDefault="00F426D4" w:rsidP="006B5C66">
      <w:pPr>
        <w:jc w:val="both"/>
        <w:rPr>
          <w:rFonts w:ascii="Arial" w:hAnsi="Arial" w:cs="Arial"/>
          <w:sz w:val="22"/>
          <w:szCs w:val="22"/>
        </w:rPr>
      </w:pPr>
      <w:r>
        <w:rPr>
          <w:rFonts w:ascii="Arial" w:hAnsi="Arial" w:cs="Arial"/>
          <w:sz w:val="22"/>
          <w:szCs w:val="22"/>
        </w:rPr>
        <w:t>References</w:t>
      </w:r>
      <w:r w:rsidR="002B6D16">
        <w:rPr>
          <w:rFonts w:ascii="Arial" w:hAnsi="Arial" w:cs="Arial"/>
          <w:sz w:val="22"/>
          <w:szCs w:val="22"/>
        </w:rPr>
        <w:t>:</w:t>
      </w:r>
    </w:p>
    <w:p w14:paraId="4DF712E6" w14:textId="30722367" w:rsidR="00FC1DB0" w:rsidRPr="00F426D4" w:rsidRDefault="00FC1DB0" w:rsidP="006B5C66">
      <w:pPr>
        <w:pStyle w:val="ListParagraph"/>
        <w:numPr>
          <w:ilvl w:val="0"/>
          <w:numId w:val="6"/>
        </w:numPr>
        <w:autoSpaceDE w:val="0"/>
        <w:autoSpaceDN w:val="0"/>
        <w:adjustRightInd w:val="0"/>
        <w:rPr>
          <w:rFonts w:ascii="Arial" w:hAnsi="Arial" w:cs="Arial"/>
          <w:sz w:val="22"/>
          <w:szCs w:val="22"/>
        </w:rPr>
      </w:pPr>
      <w:r w:rsidRPr="00F426D4">
        <w:rPr>
          <w:rFonts w:ascii="Arial" w:hAnsi="Arial" w:cs="Arial"/>
          <w:sz w:val="22"/>
          <w:szCs w:val="22"/>
        </w:rPr>
        <w:t xml:space="preserve">Brickstock, R.J. 2004. </w:t>
      </w:r>
      <w:r w:rsidRPr="00F426D4">
        <w:rPr>
          <w:rFonts w:ascii="Arial" w:hAnsi="Arial" w:cs="Arial"/>
          <w:i/>
          <w:iCs/>
          <w:sz w:val="22"/>
          <w:szCs w:val="22"/>
        </w:rPr>
        <w:t>The Production, Analysis and Standardisation of Romano-British Coin Reports</w:t>
      </w:r>
      <w:r w:rsidRPr="00F426D4">
        <w:rPr>
          <w:rFonts w:ascii="Arial" w:hAnsi="Arial" w:cs="Arial"/>
          <w:sz w:val="22"/>
          <w:szCs w:val="22"/>
        </w:rPr>
        <w:t>. English Heritage: Swindon.</w:t>
      </w:r>
    </w:p>
    <w:p w14:paraId="6C52438C" w14:textId="6731D3D8" w:rsidR="00F426D4" w:rsidRPr="00F426D4" w:rsidRDefault="00BE0843" w:rsidP="006B5C66">
      <w:pPr>
        <w:pStyle w:val="ListParagraph"/>
        <w:numPr>
          <w:ilvl w:val="0"/>
          <w:numId w:val="6"/>
        </w:numPr>
        <w:autoSpaceDE w:val="0"/>
        <w:autoSpaceDN w:val="0"/>
        <w:adjustRightInd w:val="0"/>
        <w:rPr>
          <w:rFonts w:ascii="Arial" w:hAnsi="Arial" w:cs="Arial"/>
          <w:sz w:val="22"/>
          <w:szCs w:val="22"/>
        </w:rPr>
      </w:pPr>
      <w:hyperlink r:id="rId13" w:history="1">
        <w:r w:rsidR="00F426D4" w:rsidRPr="00F426D4">
          <w:rPr>
            <w:rStyle w:val="Hyperlink"/>
            <w:rFonts w:ascii="Arial" w:hAnsi="Arial" w:cs="Arial"/>
            <w:sz w:val="22"/>
            <w:szCs w:val="22"/>
          </w:rPr>
          <w:t xml:space="preserve">Brindle, T. 2016. </w:t>
        </w:r>
        <w:r w:rsidR="00F426D4" w:rsidRPr="00F426D4">
          <w:rPr>
            <w:rStyle w:val="Hyperlink"/>
            <w:rFonts w:ascii="Arial" w:hAnsi="Arial" w:cs="Arial"/>
            <w:i/>
            <w:iCs/>
            <w:sz w:val="22"/>
            <w:szCs w:val="22"/>
          </w:rPr>
          <w:t>Approaches to the Investigation, Analysis and Dissemination of Work on Roman Rural Settlements and Landscapes in Britain: A Review. Paper 5: The Recovery, Reporting and Analysis of Artefacts</w:t>
        </w:r>
        <w:r w:rsidR="00F426D4" w:rsidRPr="00F426D4">
          <w:rPr>
            <w:rStyle w:val="Hyperlink"/>
            <w:rFonts w:ascii="Arial" w:hAnsi="Arial" w:cs="Arial"/>
            <w:sz w:val="22"/>
            <w:szCs w:val="22"/>
          </w:rPr>
          <w:t>. Cotswold Archaeology: Unpublished discussion paper.</w:t>
        </w:r>
      </w:hyperlink>
    </w:p>
    <w:p w14:paraId="14C34221" w14:textId="2018D624" w:rsidR="00F426D4" w:rsidRPr="00F426D4" w:rsidRDefault="00FC1DB0" w:rsidP="006B5C66">
      <w:pPr>
        <w:pStyle w:val="ListParagraph"/>
        <w:numPr>
          <w:ilvl w:val="0"/>
          <w:numId w:val="6"/>
        </w:numPr>
        <w:jc w:val="both"/>
        <w:rPr>
          <w:rFonts w:ascii="Arial" w:hAnsi="Arial" w:cs="Arial"/>
          <w:sz w:val="22"/>
          <w:szCs w:val="22"/>
        </w:rPr>
      </w:pPr>
      <w:r w:rsidRPr="00F426D4">
        <w:rPr>
          <w:rFonts w:ascii="Arial" w:hAnsi="Arial" w:cs="Arial"/>
          <w:sz w:val="22"/>
          <w:szCs w:val="22"/>
        </w:rPr>
        <w:t xml:space="preserve">Casey, R. &amp; Reece, R. (eds) 1974. </w:t>
      </w:r>
      <w:r w:rsidRPr="00F426D4">
        <w:rPr>
          <w:rFonts w:ascii="Arial" w:hAnsi="Arial" w:cs="Arial"/>
          <w:i/>
          <w:iCs/>
          <w:sz w:val="22"/>
          <w:szCs w:val="22"/>
        </w:rPr>
        <w:t>Coins and the Archaeologist.</w:t>
      </w:r>
      <w:r w:rsidRPr="00F426D4">
        <w:rPr>
          <w:rFonts w:ascii="Arial" w:hAnsi="Arial" w:cs="Arial"/>
          <w:sz w:val="22"/>
          <w:szCs w:val="22"/>
        </w:rPr>
        <w:t xml:space="preserve"> Oxford (Reprinted in 1986).</w:t>
      </w:r>
    </w:p>
    <w:p w14:paraId="4181903D" w14:textId="512CA739" w:rsidR="00F426D4" w:rsidRPr="00F426D4" w:rsidRDefault="00FC1DB0" w:rsidP="006B5C66">
      <w:pPr>
        <w:pStyle w:val="ListParagraph"/>
        <w:numPr>
          <w:ilvl w:val="0"/>
          <w:numId w:val="6"/>
        </w:numPr>
        <w:jc w:val="both"/>
        <w:rPr>
          <w:rFonts w:ascii="Arial" w:hAnsi="Arial" w:cs="Arial"/>
          <w:sz w:val="22"/>
          <w:szCs w:val="22"/>
        </w:rPr>
      </w:pPr>
      <w:r w:rsidRPr="00F426D4">
        <w:rPr>
          <w:rFonts w:ascii="Arial" w:hAnsi="Arial" w:cs="Arial"/>
          <w:sz w:val="22"/>
          <w:szCs w:val="22"/>
        </w:rPr>
        <w:t xml:space="preserve">Casey, J.  1986. </w:t>
      </w:r>
      <w:r w:rsidRPr="00F426D4">
        <w:rPr>
          <w:rFonts w:ascii="Arial" w:hAnsi="Arial" w:cs="Arial"/>
          <w:i/>
          <w:iCs/>
          <w:sz w:val="22"/>
          <w:szCs w:val="22"/>
        </w:rPr>
        <w:t xml:space="preserve">Understanding Ancient Coins. An Introduction for Archaeologists and </w:t>
      </w:r>
      <w:r w:rsidRPr="00F426D4">
        <w:rPr>
          <w:rFonts w:ascii="Arial" w:hAnsi="Arial" w:cs="Arial"/>
          <w:i/>
          <w:iCs/>
          <w:sz w:val="22"/>
          <w:szCs w:val="22"/>
        </w:rPr>
        <w:tab/>
        <w:t>Historians.</w:t>
      </w:r>
      <w:r w:rsidRPr="00F426D4">
        <w:rPr>
          <w:rFonts w:ascii="Arial" w:hAnsi="Arial" w:cs="Arial"/>
          <w:sz w:val="22"/>
          <w:szCs w:val="22"/>
        </w:rPr>
        <w:t xml:space="preserve"> London.</w:t>
      </w:r>
    </w:p>
    <w:p w14:paraId="071CAE00" w14:textId="1933855C" w:rsidR="00F426D4" w:rsidRPr="00F426D4" w:rsidRDefault="00BE0843" w:rsidP="006B5C66">
      <w:pPr>
        <w:pStyle w:val="ListParagraph"/>
        <w:numPr>
          <w:ilvl w:val="0"/>
          <w:numId w:val="6"/>
        </w:numPr>
        <w:rPr>
          <w:rStyle w:val="Hyperlink"/>
          <w:rFonts w:ascii="Arial" w:hAnsi="Arial" w:cs="Arial"/>
          <w:sz w:val="22"/>
          <w:szCs w:val="22"/>
        </w:rPr>
      </w:pPr>
      <w:hyperlink r:id="rId14" w:history="1">
        <w:r w:rsidR="00F426D4" w:rsidRPr="00F426D4">
          <w:rPr>
            <w:rStyle w:val="Hyperlink"/>
            <w:rFonts w:ascii="Arial" w:hAnsi="Arial" w:cs="Arial"/>
            <w:sz w:val="22"/>
            <w:szCs w:val="22"/>
          </w:rPr>
          <w:t xml:space="preserve">Cattermole, A, 2017, </w:t>
        </w:r>
        <w:r w:rsidR="00F426D4" w:rsidRPr="00F426D4">
          <w:rPr>
            <w:rStyle w:val="Hyperlink"/>
            <w:rFonts w:ascii="Arial" w:hAnsi="Arial" w:cs="Arial"/>
            <w:i/>
            <w:iCs/>
            <w:sz w:val="22"/>
            <w:szCs w:val="22"/>
          </w:rPr>
          <w:t>Review of the Standard of Reporting on Archaeological Artefacts in England</w:t>
        </w:r>
        <w:r w:rsidR="00F426D4" w:rsidRPr="00F426D4">
          <w:rPr>
            <w:rStyle w:val="Hyperlink"/>
            <w:rFonts w:ascii="Arial" w:hAnsi="Arial" w:cs="Arial"/>
            <w:sz w:val="22"/>
            <w:szCs w:val="22"/>
          </w:rPr>
          <w:t>. Historic England Project No. 7090: Unpublished report for Historic England.</w:t>
        </w:r>
      </w:hyperlink>
      <w:r w:rsidR="00F426D4" w:rsidRPr="00F426D4">
        <w:rPr>
          <w:rFonts w:ascii="Arial" w:hAnsi="Arial" w:cs="Arial"/>
          <w:sz w:val="22"/>
          <w:szCs w:val="22"/>
        </w:rPr>
        <w:t xml:space="preserve"> </w:t>
      </w:r>
    </w:p>
    <w:p w14:paraId="3A5ED611" w14:textId="02E362A8" w:rsidR="00F426D4" w:rsidRPr="00F426D4" w:rsidRDefault="00F426D4" w:rsidP="006B5C66">
      <w:pPr>
        <w:pStyle w:val="ListParagraph"/>
        <w:numPr>
          <w:ilvl w:val="0"/>
          <w:numId w:val="6"/>
        </w:numPr>
        <w:rPr>
          <w:rFonts w:ascii="Arial" w:hAnsi="Arial" w:cs="Arial"/>
          <w:sz w:val="22"/>
          <w:szCs w:val="22"/>
        </w:rPr>
      </w:pPr>
      <w:r w:rsidRPr="00F426D4">
        <w:rPr>
          <w:rStyle w:val="Hyperlink"/>
          <w:rFonts w:ascii="Arial" w:hAnsi="Arial" w:cs="Arial"/>
          <w:color w:val="auto"/>
          <w:sz w:val="22"/>
          <w:szCs w:val="22"/>
          <w:u w:val="none"/>
        </w:rPr>
        <w:t xml:space="preserve">Fulford, M. and Holbrook, N. 2018. </w:t>
      </w:r>
      <w:r w:rsidRPr="00F426D4">
        <w:rPr>
          <w:rStyle w:val="Hyperlink"/>
          <w:rFonts w:ascii="Arial" w:hAnsi="Arial" w:cs="Arial"/>
          <w:sz w:val="22"/>
          <w:szCs w:val="22"/>
          <w:u w:val="none"/>
        </w:rPr>
        <w:t>‘</w:t>
      </w:r>
      <w:r w:rsidRPr="00F426D4">
        <w:rPr>
          <w:rStyle w:val="nlmarticle-title"/>
          <w:rFonts w:ascii="Arial" w:hAnsi="Arial" w:cs="Arial"/>
          <w:sz w:val="22"/>
          <w:szCs w:val="22"/>
        </w:rPr>
        <w:t xml:space="preserve">Relevant Beyond the Roman Period: Approaches to the Investigation, Analysis and Dissemination of Archaeological Investigations of the Rural Settlements and Landscapes of Roman Britain’, </w:t>
      </w:r>
      <w:r w:rsidRPr="00F426D4">
        <w:rPr>
          <w:rStyle w:val="nlmarticle-title"/>
          <w:rFonts w:ascii="Arial" w:hAnsi="Arial" w:cs="Arial"/>
          <w:i/>
          <w:iCs/>
          <w:sz w:val="22"/>
          <w:szCs w:val="22"/>
        </w:rPr>
        <w:t>Archaeological Journal</w:t>
      </w:r>
      <w:r w:rsidRPr="00F426D4">
        <w:rPr>
          <w:rStyle w:val="nlmarticle-title"/>
          <w:rFonts w:ascii="Arial" w:hAnsi="Arial" w:cs="Arial"/>
          <w:sz w:val="22"/>
          <w:szCs w:val="22"/>
        </w:rPr>
        <w:t xml:space="preserve"> 175 </w:t>
      </w:r>
      <w:r w:rsidRPr="00F426D4">
        <w:rPr>
          <w:rFonts w:ascii="Arial" w:hAnsi="Arial" w:cs="Arial"/>
          <w:sz w:val="22"/>
          <w:szCs w:val="22"/>
        </w:rPr>
        <w:t>(2), 214-230.</w:t>
      </w:r>
    </w:p>
    <w:p w14:paraId="3D00CAD2" w14:textId="262FA585" w:rsidR="00F426D4" w:rsidRPr="00F426D4" w:rsidRDefault="00FC1DB0" w:rsidP="006B5C66">
      <w:pPr>
        <w:pStyle w:val="ListParagraph"/>
        <w:numPr>
          <w:ilvl w:val="0"/>
          <w:numId w:val="6"/>
        </w:numPr>
        <w:rPr>
          <w:rFonts w:ascii="Arial" w:hAnsi="Arial" w:cs="Arial"/>
          <w:sz w:val="22"/>
          <w:szCs w:val="22"/>
        </w:rPr>
      </w:pPr>
      <w:r w:rsidRPr="00F426D4">
        <w:rPr>
          <w:rFonts w:ascii="Arial" w:hAnsi="Arial" w:cs="Arial"/>
          <w:sz w:val="22"/>
          <w:szCs w:val="22"/>
        </w:rPr>
        <w:t xml:space="preserve">Metcalf, W. 2012. </w:t>
      </w:r>
      <w:r w:rsidRPr="00F426D4">
        <w:rPr>
          <w:rFonts w:ascii="Arial" w:hAnsi="Arial" w:cs="Arial"/>
          <w:i/>
          <w:iCs/>
          <w:sz w:val="22"/>
          <w:szCs w:val="22"/>
        </w:rPr>
        <w:t>The Oxford Handbook of Greek and Roman Coinage</w:t>
      </w:r>
      <w:r w:rsidRPr="00F426D4">
        <w:rPr>
          <w:rFonts w:ascii="Arial" w:hAnsi="Arial" w:cs="Arial"/>
          <w:sz w:val="22"/>
          <w:szCs w:val="22"/>
        </w:rPr>
        <w:t>. Oxford.</w:t>
      </w:r>
    </w:p>
    <w:p w14:paraId="19E9E63A" w14:textId="240379A9" w:rsidR="001F4626" w:rsidRPr="002A16EC" w:rsidRDefault="00FC1DB0" w:rsidP="002A16EC">
      <w:pPr>
        <w:pStyle w:val="ListParagraph"/>
        <w:numPr>
          <w:ilvl w:val="0"/>
          <w:numId w:val="6"/>
        </w:numPr>
        <w:jc w:val="both"/>
        <w:rPr>
          <w:rFonts w:ascii="Arial" w:hAnsi="Arial" w:cs="Arial"/>
          <w:sz w:val="22"/>
          <w:szCs w:val="22"/>
        </w:rPr>
      </w:pPr>
      <w:r w:rsidRPr="00F426D4">
        <w:rPr>
          <w:rFonts w:ascii="Arial" w:hAnsi="Arial" w:cs="Arial"/>
          <w:sz w:val="22"/>
          <w:szCs w:val="22"/>
        </w:rPr>
        <w:t xml:space="preserve">Reece, R. 1987. </w:t>
      </w:r>
      <w:r w:rsidRPr="00F426D4">
        <w:rPr>
          <w:rFonts w:ascii="Arial" w:hAnsi="Arial" w:cs="Arial"/>
          <w:i/>
          <w:iCs/>
          <w:sz w:val="22"/>
          <w:szCs w:val="22"/>
        </w:rPr>
        <w:t>Coinage in Roman Britain.</w:t>
      </w:r>
      <w:r w:rsidRPr="00F426D4">
        <w:rPr>
          <w:rFonts w:ascii="Arial" w:hAnsi="Arial" w:cs="Arial"/>
          <w:sz w:val="22"/>
          <w:szCs w:val="22"/>
        </w:rPr>
        <w:t xml:space="preserve"> London.</w:t>
      </w:r>
    </w:p>
    <w:p w14:paraId="410A4CD5" w14:textId="77777777" w:rsidR="001F4626" w:rsidRPr="00174F03" w:rsidRDefault="001F4626" w:rsidP="00713011">
      <w:pPr>
        <w:pBdr>
          <w:bottom w:val="single" w:sz="6" w:space="1" w:color="auto"/>
        </w:pBdr>
        <w:rPr>
          <w:rFonts w:ascii="Arial" w:hAnsi="Arial" w:cs="Arial"/>
          <w:bCs/>
          <w:sz w:val="22"/>
          <w:szCs w:val="22"/>
        </w:rPr>
      </w:pPr>
    </w:p>
    <w:p w14:paraId="68CE0727" w14:textId="77777777" w:rsidR="00BC7D26" w:rsidRDefault="00BC7D26" w:rsidP="006B5C66">
      <w:pPr>
        <w:rPr>
          <w:rFonts w:ascii="Arial" w:hAnsi="Arial" w:cs="Arial"/>
          <w:bCs/>
          <w:sz w:val="22"/>
          <w:szCs w:val="22"/>
        </w:rPr>
      </w:pPr>
    </w:p>
    <w:p w14:paraId="27C30B40" w14:textId="4FAAE3E9" w:rsidR="00BC7D26" w:rsidRDefault="006B5C66" w:rsidP="006B5C66">
      <w:pPr>
        <w:jc w:val="center"/>
        <w:rPr>
          <w:rFonts w:ascii="Arial" w:hAnsi="Arial" w:cs="Arial"/>
          <w:b/>
          <w:bCs/>
          <w:color w:val="731472"/>
          <w:sz w:val="22"/>
          <w:szCs w:val="22"/>
        </w:rPr>
      </w:pPr>
      <w:r>
        <w:rPr>
          <w:rFonts w:ascii="Arial" w:hAnsi="Arial" w:cs="Arial"/>
          <w:b/>
          <w:bCs/>
          <w:color w:val="731472"/>
          <w:sz w:val="22"/>
          <w:szCs w:val="22"/>
        </w:rPr>
        <w:t>COINS AS ARCHAEOLOGICAL ARTEFACTS</w:t>
      </w:r>
    </w:p>
    <w:p w14:paraId="2F7910E7" w14:textId="77777777" w:rsidR="00BC7D26" w:rsidRDefault="00BC7D26" w:rsidP="006B5C66">
      <w:pPr>
        <w:jc w:val="both"/>
        <w:rPr>
          <w:rFonts w:ascii="Arial" w:hAnsi="Arial" w:cs="Arial"/>
          <w:color w:val="000000"/>
          <w:sz w:val="22"/>
          <w:szCs w:val="22"/>
        </w:rPr>
      </w:pPr>
    </w:p>
    <w:p w14:paraId="2C005E47" w14:textId="73CAE9EA" w:rsidR="005D47D2" w:rsidRDefault="00BC7D26" w:rsidP="006B5C66">
      <w:pPr>
        <w:jc w:val="both"/>
        <w:rPr>
          <w:rFonts w:ascii="Arial" w:hAnsi="Arial" w:cs="Arial"/>
          <w:color w:val="000000"/>
          <w:sz w:val="22"/>
          <w:szCs w:val="22"/>
        </w:rPr>
      </w:pPr>
      <w:r>
        <w:rPr>
          <w:rFonts w:ascii="Arial" w:hAnsi="Arial" w:cs="Arial"/>
          <w:color w:val="000000"/>
          <w:sz w:val="22"/>
          <w:szCs w:val="22"/>
        </w:rPr>
        <w:t>Roman coins are numismatic objects that have much to tell us about the economic and political histories of the Roman world</w:t>
      </w:r>
      <w:r w:rsidR="00E6330E">
        <w:rPr>
          <w:rFonts w:ascii="Arial" w:hAnsi="Arial" w:cs="Arial"/>
          <w:color w:val="000000"/>
          <w:sz w:val="22"/>
          <w:szCs w:val="22"/>
        </w:rPr>
        <w:t xml:space="preserve">. </w:t>
      </w:r>
      <w:r w:rsidR="003A11FB" w:rsidRPr="00BE0843">
        <w:rPr>
          <w:rFonts w:ascii="Arial" w:hAnsi="Arial" w:cs="Arial"/>
          <w:b/>
          <w:bCs/>
          <w:color w:val="000000"/>
          <w:sz w:val="22"/>
          <w:szCs w:val="22"/>
        </w:rPr>
        <w:t>Site</w:t>
      </w:r>
      <w:r w:rsidR="00305B64" w:rsidRPr="00BE0843">
        <w:rPr>
          <w:rFonts w:ascii="Arial" w:hAnsi="Arial" w:cs="Arial"/>
          <w:b/>
          <w:bCs/>
          <w:color w:val="000000"/>
          <w:sz w:val="22"/>
          <w:szCs w:val="22"/>
        </w:rPr>
        <w:t>-</w:t>
      </w:r>
      <w:r w:rsidR="003A11FB" w:rsidRPr="00BE0843">
        <w:rPr>
          <w:rFonts w:ascii="Arial" w:hAnsi="Arial" w:cs="Arial"/>
          <w:b/>
          <w:bCs/>
          <w:color w:val="000000"/>
          <w:sz w:val="22"/>
          <w:szCs w:val="22"/>
        </w:rPr>
        <w:t>finds</w:t>
      </w:r>
      <w:r w:rsidR="003A11FB">
        <w:rPr>
          <w:rFonts w:ascii="Arial" w:hAnsi="Arial" w:cs="Arial"/>
          <w:color w:val="000000"/>
          <w:sz w:val="22"/>
          <w:szCs w:val="22"/>
        </w:rPr>
        <w:t xml:space="preserve"> (i.e.,</w:t>
      </w:r>
      <w:r w:rsidR="00A8622B">
        <w:rPr>
          <w:rFonts w:ascii="Arial" w:hAnsi="Arial" w:cs="Arial"/>
          <w:color w:val="000000"/>
          <w:sz w:val="22"/>
          <w:szCs w:val="22"/>
        </w:rPr>
        <w:t xml:space="preserve"> </w:t>
      </w:r>
      <w:r w:rsidR="003A11FB">
        <w:rPr>
          <w:rFonts w:ascii="Arial" w:hAnsi="Arial" w:cs="Arial"/>
          <w:color w:val="000000"/>
          <w:sz w:val="22"/>
          <w:szCs w:val="22"/>
        </w:rPr>
        <w:t>a</w:t>
      </w:r>
      <w:r>
        <w:rPr>
          <w:rFonts w:ascii="Arial" w:hAnsi="Arial" w:cs="Arial"/>
          <w:color w:val="000000"/>
          <w:sz w:val="22"/>
          <w:szCs w:val="22"/>
        </w:rPr>
        <w:t>rchaeologically-recovered coins</w:t>
      </w:r>
      <w:r w:rsidR="003A11FB">
        <w:rPr>
          <w:rFonts w:ascii="Arial" w:hAnsi="Arial" w:cs="Arial"/>
          <w:color w:val="000000"/>
          <w:sz w:val="22"/>
          <w:szCs w:val="22"/>
        </w:rPr>
        <w:t>)</w:t>
      </w:r>
      <w:r>
        <w:rPr>
          <w:rFonts w:ascii="Arial" w:hAnsi="Arial" w:cs="Arial"/>
          <w:color w:val="000000"/>
          <w:sz w:val="22"/>
          <w:szCs w:val="22"/>
        </w:rPr>
        <w:t xml:space="preserve">, however, </w:t>
      </w:r>
      <w:r w:rsidR="00CF47D7">
        <w:rPr>
          <w:rFonts w:ascii="Arial" w:hAnsi="Arial" w:cs="Arial"/>
          <w:color w:val="000000"/>
          <w:sz w:val="22"/>
          <w:szCs w:val="22"/>
        </w:rPr>
        <w:t xml:space="preserve">tell different stories </w:t>
      </w:r>
      <w:r w:rsidR="00A65539">
        <w:rPr>
          <w:rFonts w:ascii="Arial" w:hAnsi="Arial" w:cs="Arial"/>
          <w:color w:val="000000"/>
          <w:sz w:val="22"/>
          <w:szCs w:val="22"/>
        </w:rPr>
        <w:t xml:space="preserve">too </w:t>
      </w:r>
      <w:r w:rsidR="00CF47D7">
        <w:rPr>
          <w:rFonts w:ascii="Arial" w:hAnsi="Arial" w:cs="Arial"/>
          <w:color w:val="000000"/>
          <w:sz w:val="22"/>
          <w:szCs w:val="22"/>
        </w:rPr>
        <w:t>and if we are to ‘</w:t>
      </w:r>
      <w:r w:rsidR="00CF47D7" w:rsidRPr="00B52E67">
        <w:rPr>
          <w:rFonts w:ascii="Arial" w:hAnsi="Arial" w:cs="Arial"/>
          <w:color w:val="000000"/>
          <w:sz w:val="22"/>
          <w:szCs w:val="22"/>
        </w:rPr>
        <w:t>capitalise on and extract maximum value</w:t>
      </w:r>
      <w:r w:rsidR="00CF47D7">
        <w:rPr>
          <w:rFonts w:ascii="Arial" w:hAnsi="Arial" w:cs="Arial"/>
          <w:color w:val="000000"/>
          <w:sz w:val="22"/>
          <w:szCs w:val="22"/>
        </w:rPr>
        <w:t xml:space="preserve">’ from these objects, </w:t>
      </w:r>
      <w:r w:rsidR="005D47D2">
        <w:rPr>
          <w:rFonts w:ascii="Arial" w:hAnsi="Arial" w:cs="Arial"/>
          <w:color w:val="000000"/>
          <w:sz w:val="22"/>
          <w:szCs w:val="22"/>
        </w:rPr>
        <w:t>t</w:t>
      </w:r>
      <w:r w:rsidR="005D47D2" w:rsidRPr="005D47D2">
        <w:rPr>
          <w:rFonts w:ascii="Arial" w:hAnsi="Arial" w:cs="Arial"/>
          <w:color w:val="000000"/>
          <w:sz w:val="22"/>
          <w:szCs w:val="22"/>
        </w:rPr>
        <w:t xml:space="preserve">he reporting of Roman coinage should follow the same </w:t>
      </w:r>
      <w:r w:rsidR="005D47D2" w:rsidRPr="00AF5A41">
        <w:rPr>
          <w:rFonts w:ascii="Arial" w:hAnsi="Arial" w:cs="Arial"/>
          <w:color w:val="000000"/>
          <w:sz w:val="22"/>
          <w:szCs w:val="22"/>
        </w:rPr>
        <w:t>principles</w:t>
      </w:r>
      <w:r w:rsidR="005D47D2" w:rsidRPr="005D47D2">
        <w:rPr>
          <w:rFonts w:ascii="Arial" w:hAnsi="Arial" w:cs="Arial"/>
          <w:color w:val="000000"/>
          <w:sz w:val="22"/>
          <w:szCs w:val="22"/>
        </w:rPr>
        <w:t xml:space="preserve"> and </w:t>
      </w:r>
      <w:r w:rsidR="005D47D2" w:rsidRPr="00AF5A41">
        <w:rPr>
          <w:rFonts w:ascii="Arial" w:hAnsi="Arial" w:cs="Arial"/>
          <w:color w:val="000000"/>
          <w:sz w:val="22"/>
          <w:szCs w:val="22"/>
        </w:rPr>
        <w:t>processes</w:t>
      </w:r>
      <w:r w:rsidR="005D47D2" w:rsidRPr="005D47D2">
        <w:rPr>
          <w:rFonts w:ascii="Arial" w:hAnsi="Arial" w:cs="Arial"/>
          <w:color w:val="000000"/>
          <w:sz w:val="22"/>
          <w:szCs w:val="22"/>
        </w:rPr>
        <w:t xml:space="preserve"> as other archaeological finds</w:t>
      </w:r>
      <w:r w:rsidR="00CF47D7">
        <w:rPr>
          <w:rFonts w:ascii="Arial" w:hAnsi="Arial" w:cs="Arial"/>
          <w:color w:val="000000"/>
          <w:sz w:val="22"/>
          <w:szCs w:val="22"/>
        </w:rPr>
        <w:t xml:space="preserve"> (e.g., </w:t>
      </w:r>
      <w:hyperlink r:id="rId15" w:history="1">
        <w:r w:rsidR="00CF47D7" w:rsidRPr="000E2CE7">
          <w:rPr>
            <w:rStyle w:val="Hyperlink"/>
            <w:rFonts w:ascii="Arial" w:hAnsi="Arial" w:cs="Arial"/>
            <w:sz w:val="22"/>
            <w:szCs w:val="22"/>
          </w:rPr>
          <w:t>pottery</w:t>
        </w:r>
      </w:hyperlink>
      <w:r w:rsidR="00CF47D7">
        <w:rPr>
          <w:rFonts w:ascii="Arial" w:hAnsi="Arial" w:cs="Arial"/>
          <w:color w:val="000000"/>
          <w:sz w:val="22"/>
          <w:szCs w:val="22"/>
        </w:rPr>
        <w:t xml:space="preserve"> and small finds).</w:t>
      </w:r>
    </w:p>
    <w:p w14:paraId="30EE619A" w14:textId="77777777" w:rsidR="00E6330E" w:rsidRDefault="00E6330E" w:rsidP="006B5C66">
      <w:pPr>
        <w:jc w:val="both"/>
        <w:rPr>
          <w:rFonts w:ascii="Arial" w:hAnsi="Arial" w:cs="Arial"/>
          <w:color w:val="000000"/>
          <w:sz w:val="22"/>
          <w:szCs w:val="22"/>
        </w:rPr>
      </w:pPr>
    </w:p>
    <w:p w14:paraId="67C87D2F" w14:textId="76B20134" w:rsidR="00413C2C" w:rsidRDefault="00A65539" w:rsidP="006B5C66">
      <w:pPr>
        <w:jc w:val="both"/>
        <w:rPr>
          <w:rFonts w:ascii="Arial" w:hAnsi="Arial" w:cs="Arial"/>
          <w:color w:val="000000"/>
          <w:sz w:val="22"/>
          <w:szCs w:val="22"/>
        </w:rPr>
      </w:pPr>
      <w:r>
        <w:rPr>
          <w:rFonts w:ascii="Arial" w:hAnsi="Arial" w:cs="Arial"/>
          <w:color w:val="000000"/>
          <w:sz w:val="22"/>
          <w:szCs w:val="22"/>
        </w:rPr>
        <w:t>M</w:t>
      </w:r>
      <w:r w:rsidR="00305B64">
        <w:rPr>
          <w:rFonts w:ascii="Arial" w:hAnsi="Arial" w:cs="Arial"/>
          <w:color w:val="000000"/>
          <w:sz w:val="22"/>
          <w:szCs w:val="22"/>
        </w:rPr>
        <w:t xml:space="preserve">ost </w:t>
      </w:r>
      <w:r w:rsidR="00253D36">
        <w:rPr>
          <w:rFonts w:ascii="Arial" w:hAnsi="Arial" w:cs="Arial"/>
          <w:color w:val="000000"/>
          <w:sz w:val="22"/>
          <w:szCs w:val="22"/>
        </w:rPr>
        <w:t xml:space="preserve">archaeological </w:t>
      </w:r>
      <w:r w:rsidR="00305B64">
        <w:rPr>
          <w:rFonts w:ascii="Arial" w:hAnsi="Arial" w:cs="Arial"/>
          <w:color w:val="000000"/>
          <w:sz w:val="22"/>
          <w:szCs w:val="22"/>
        </w:rPr>
        <w:t xml:space="preserve">coin reports treat site-finds squarely as numismatic objects rather than </w:t>
      </w:r>
      <w:r w:rsidR="00253D36">
        <w:rPr>
          <w:rFonts w:ascii="Arial" w:hAnsi="Arial" w:cs="Arial"/>
          <w:color w:val="000000"/>
          <w:sz w:val="22"/>
          <w:szCs w:val="22"/>
        </w:rPr>
        <w:t>excavated</w:t>
      </w:r>
      <w:r w:rsidR="00305B64">
        <w:rPr>
          <w:rFonts w:ascii="Arial" w:hAnsi="Arial" w:cs="Arial"/>
          <w:color w:val="000000"/>
          <w:sz w:val="22"/>
          <w:szCs w:val="22"/>
        </w:rPr>
        <w:t xml:space="preserve"> artefacts. </w:t>
      </w:r>
      <w:r w:rsidR="001577E4">
        <w:rPr>
          <w:rFonts w:ascii="Arial" w:hAnsi="Arial" w:cs="Arial"/>
          <w:color w:val="000000"/>
          <w:sz w:val="22"/>
          <w:szCs w:val="22"/>
        </w:rPr>
        <w:t>Roman coins</w:t>
      </w:r>
      <w:r w:rsidR="00305B64">
        <w:rPr>
          <w:rFonts w:ascii="Arial" w:hAnsi="Arial" w:cs="Arial"/>
          <w:color w:val="000000"/>
          <w:sz w:val="22"/>
          <w:szCs w:val="22"/>
        </w:rPr>
        <w:t xml:space="preserve"> are listed </w:t>
      </w:r>
      <w:r w:rsidR="00A8622B">
        <w:rPr>
          <w:rFonts w:ascii="Arial" w:hAnsi="Arial" w:cs="Arial"/>
          <w:color w:val="000000"/>
          <w:sz w:val="22"/>
          <w:szCs w:val="22"/>
        </w:rPr>
        <w:t xml:space="preserve">and shown on graphs </w:t>
      </w:r>
      <w:r w:rsidR="00305B64">
        <w:rPr>
          <w:rFonts w:ascii="Arial" w:hAnsi="Arial" w:cs="Arial"/>
          <w:color w:val="000000"/>
          <w:sz w:val="22"/>
          <w:szCs w:val="22"/>
        </w:rPr>
        <w:t>according to the dates when they were struck, without consideration of the length of time they might have been in circulation before being deposited</w:t>
      </w:r>
      <w:r w:rsidR="00411F74">
        <w:rPr>
          <w:rFonts w:ascii="Arial" w:hAnsi="Arial" w:cs="Arial"/>
          <w:color w:val="000000"/>
          <w:sz w:val="22"/>
          <w:szCs w:val="22"/>
        </w:rPr>
        <w:t>. T</w:t>
      </w:r>
      <w:r w:rsidR="00305B64">
        <w:rPr>
          <w:rFonts w:ascii="Arial" w:hAnsi="Arial" w:cs="Arial"/>
          <w:color w:val="000000"/>
          <w:sz w:val="22"/>
          <w:szCs w:val="22"/>
        </w:rPr>
        <w:t>he</w:t>
      </w:r>
      <w:r w:rsidR="00A17AC7">
        <w:rPr>
          <w:rFonts w:ascii="Arial" w:hAnsi="Arial" w:cs="Arial"/>
          <w:color w:val="000000"/>
          <w:sz w:val="22"/>
          <w:szCs w:val="22"/>
        </w:rPr>
        <w:t xml:space="preserve">y are </w:t>
      </w:r>
      <w:r w:rsidR="00411F74">
        <w:rPr>
          <w:rFonts w:ascii="Arial" w:hAnsi="Arial" w:cs="Arial"/>
          <w:color w:val="000000"/>
          <w:sz w:val="22"/>
          <w:szCs w:val="22"/>
        </w:rPr>
        <w:t xml:space="preserve">also </w:t>
      </w:r>
      <w:r w:rsidR="00A17AC7">
        <w:rPr>
          <w:rFonts w:ascii="Arial" w:hAnsi="Arial" w:cs="Arial"/>
          <w:color w:val="000000"/>
          <w:sz w:val="22"/>
          <w:szCs w:val="22"/>
        </w:rPr>
        <w:t>almost always</w:t>
      </w:r>
      <w:r w:rsidR="00305B64">
        <w:rPr>
          <w:rFonts w:ascii="Arial" w:hAnsi="Arial" w:cs="Arial"/>
          <w:color w:val="000000"/>
          <w:sz w:val="22"/>
          <w:szCs w:val="22"/>
        </w:rPr>
        <w:t xml:space="preserve"> interpret</w:t>
      </w:r>
      <w:r w:rsidR="00A17AC7">
        <w:rPr>
          <w:rFonts w:ascii="Arial" w:hAnsi="Arial" w:cs="Arial"/>
          <w:color w:val="000000"/>
          <w:sz w:val="22"/>
          <w:szCs w:val="22"/>
        </w:rPr>
        <w:t xml:space="preserve">ed </w:t>
      </w:r>
      <w:r w:rsidR="00305B64">
        <w:rPr>
          <w:rFonts w:ascii="Arial" w:hAnsi="Arial" w:cs="Arial"/>
          <w:color w:val="000000"/>
          <w:sz w:val="22"/>
          <w:szCs w:val="22"/>
        </w:rPr>
        <w:t xml:space="preserve">as monetary objects that together </w:t>
      </w:r>
      <w:r w:rsidR="00F85700">
        <w:rPr>
          <w:rFonts w:ascii="Arial" w:hAnsi="Arial" w:cs="Arial"/>
          <w:color w:val="000000"/>
          <w:sz w:val="22"/>
          <w:szCs w:val="22"/>
        </w:rPr>
        <w:t xml:space="preserve">are thought to </w:t>
      </w:r>
      <w:r w:rsidR="00C51D44">
        <w:rPr>
          <w:rFonts w:ascii="Arial" w:hAnsi="Arial" w:cs="Arial"/>
          <w:color w:val="000000"/>
          <w:sz w:val="22"/>
          <w:szCs w:val="22"/>
        </w:rPr>
        <w:t xml:space="preserve">reflect </w:t>
      </w:r>
      <w:r w:rsidR="001577E4">
        <w:rPr>
          <w:rFonts w:ascii="Arial" w:hAnsi="Arial" w:cs="Arial"/>
          <w:color w:val="000000"/>
          <w:sz w:val="22"/>
          <w:szCs w:val="22"/>
        </w:rPr>
        <w:t>a settlement’s</w:t>
      </w:r>
      <w:r w:rsidR="00C51D44">
        <w:rPr>
          <w:rFonts w:ascii="Arial" w:hAnsi="Arial" w:cs="Arial"/>
          <w:color w:val="000000"/>
          <w:sz w:val="22"/>
          <w:szCs w:val="22"/>
        </w:rPr>
        <w:t xml:space="preserve"> economic fortunes. Although there are a few notable exceptions to this picture, particularly for sites known to have been places of religious significance (e.g.,</w:t>
      </w:r>
      <w:r w:rsidR="002A16EC">
        <w:rPr>
          <w:rFonts w:ascii="Arial" w:hAnsi="Arial" w:cs="Arial"/>
          <w:color w:val="000000"/>
          <w:sz w:val="22"/>
          <w:szCs w:val="22"/>
        </w:rPr>
        <w:t xml:space="preserve"> Walker 1988; Eckardt and Walton 2021</w:t>
      </w:r>
      <w:r w:rsidR="00C51D44">
        <w:rPr>
          <w:rFonts w:ascii="Arial" w:hAnsi="Arial" w:cs="Arial"/>
          <w:color w:val="000000"/>
          <w:sz w:val="22"/>
          <w:szCs w:val="22"/>
        </w:rPr>
        <w:t xml:space="preserve">), the </w:t>
      </w:r>
      <w:r w:rsidR="001577E4">
        <w:rPr>
          <w:rFonts w:ascii="Arial" w:hAnsi="Arial" w:cs="Arial"/>
          <w:color w:val="000000"/>
          <w:sz w:val="22"/>
          <w:szCs w:val="22"/>
        </w:rPr>
        <w:t xml:space="preserve">analytical </w:t>
      </w:r>
      <w:r w:rsidR="00413C2C">
        <w:rPr>
          <w:rFonts w:ascii="Arial" w:hAnsi="Arial" w:cs="Arial"/>
          <w:color w:val="000000"/>
          <w:sz w:val="22"/>
          <w:szCs w:val="22"/>
        </w:rPr>
        <w:t>methodologies in use today have not altered significantly since the 1970s and 1980s.</w:t>
      </w:r>
    </w:p>
    <w:p w14:paraId="2BF17948" w14:textId="77777777" w:rsidR="00413C2C" w:rsidRDefault="00413C2C" w:rsidP="006B5C66">
      <w:pPr>
        <w:jc w:val="both"/>
        <w:rPr>
          <w:rFonts w:ascii="Arial" w:hAnsi="Arial" w:cs="Arial"/>
          <w:color w:val="000000"/>
          <w:sz w:val="22"/>
          <w:szCs w:val="22"/>
        </w:rPr>
      </w:pPr>
    </w:p>
    <w:p w14:paraId="594D5078" w14:textId="37DF484D" w:rsidR="00CF47D7" w:rsidRDefault="00413C2C" w:rsidP="006B5C66">
      <w:pPr>
        <w:jc w:val="both"/>
        <w:rPr>
          <w:rFonts w:ascii="Arial" w:hAnsi="Arial" w:cs="Arial"/>
          <w:color w:val="000000"/>
          <w:sz w:val="22"/>
          <w:szCs w:val="22"/>
        </w:rPr>
      </w:pPr>
      <w:r>
        <w:rPr>
          <w:rFonts w:ascii="Arial" w:hAnsi="Arial" w:cs="Arial"/>
          <w:color w:val="000000"/>
          <w:sz w:val="22"/>
          <w:szCs w:val="22"/>
        </w:rPr>
        <w:t>I</w:t>
      </w:r>
      <w:r w:rsidR="00A17AC7">
        <w:rPr>
          <w:rFonts w:ascii="Arial" w:hAnsi="Arial" w:cs="Arial"/>
          <w:color w:val="000000"/>
          <w:sz w:val="22"/>
          <w:szCs w:val="22"/>
        </w:rPr>
        <w:t>t remains the case that</w:t>
      </w:r>
      <w:r w:rsidR="000E2CE7" w:rsidRPr="000E2CE7">
        <w:rPr>
          <w:rFonts w:ascii="Arial" w:hAnsi="Arial" w:cs="Arial"/>
          <w:color w:val="000000"/>
          <w:sz w:val="22"/>
          <w:szCs w:val="22"/>
        </w:rPr>
        <w:t xml:space="preserve"> </w:t>
      </w:r>
      <w:r w:rsidR="000E2CE7">
        <w:rPr>
          <w:rFonts w:ascii="Arial" w:hAnsi="Arial" w:cs="Arial"/>
          <w:color w:val="000000"/>
          <w:sz w:val="22"/>
          <w:szCs w:val="22"/>
        </w:rPr>
        <w:t>coins are divorced from their stratigraphic origins</w:t>
      </w:r>
      <w:r w:rsidR="00A17AC7">
        <w:rPr>
          <w:rFonts w:ascii="Arial" w:hAnsi="Arial" w:cs="Arial"/>
          <w:color w:val="000000"/>
          <w:sz w:val="22"/>
          <w:szCs w:val="22"/>
        </w:rPr>
        <w:t xml:space="preserve"> i</w:t>
      </w:r>
      <w:r>
        <w:rPr>
          <w:rFonts w:ascii="Arial" w:hAnsi="Arial" w:cs="Arial"/>
          <w:color w:val="000000"/>
          <w:sz w:val="22"/>
          <w:szCs w:val="22"/>
        </w:rPr>
        <w:t xml:space="preserve">n </w:t>
      </w:r>
      <w:r w:rsidR="00C51D44">
        <w:rPr>
          <w:rFonts w:ascii="Arial" w:hAnsi="Arial" w:cs="Arial"/>
          <w:color w:val="000000"/>
          <w:sz w:val="22"/>
          <w:szCs w:val="22"/>
        </w:rPr>
        <w:t xml:space="preserve">the majority of reports and publications describing excavations of Romano-British sites </w:t>
      </w:r>
      <w:r>
        <w:rPr>
          <w:rFonts w:ascii="Arial" w:hAnsi="Arial" w:cs="Arial"/>
          <w:color w:val="000000"/>
          <w:sz w:val="22"/>
          <w:szCs w:val="22"/>
        </w:rPr>
        <w:t>and</w:t>
      </w:r>
      <w:r w:rsidR="00364103">
        <w:rPr>
          <w:rFonts w:ascii="Arial" w:hAnsi="Arial" w:cs="Arial"/>
          <w:color w:val="000000"/>
          <w:sz w:val="22"/>
          <w:szCs w:val="22"/>
        </w:rPr>
        <w:t>,</w:t>
      </w:r>
      <w:r w:rsidR="00A17AC7">
        <w:rPr>
          <w:rFonts w:ascii="Arial" w:hAnsi="Arial" w:cs="Arial"/>
          <w:color w:val="000000"/>
          <w:sz w:val="22"/>
          <w:szCs w:val="22"/>
        </w:rPr>
        <w:t xml:space="preserve"> </w:t>
      </w:r>
      <w:r w:rsidR="000E2CE7">
        <w:rPr>
          <w:rFonts w:ascii="Arial" w:hAnsi="Arial" w:cs="Arial"/>
          <w:color w:val="000000"/>
          <w:sz w:val="22"/>
          <w:szCs w:val="22"/>
        </w:rPr>
        <w:t>consequently</w:t>
      </w:r>
      <w:r w:rsidR="00364103">
        <w:rPr>
          <w:rFonts w:ascii="Arial" w:hAnsi="Arial" w:cs="Arial"/>
          <w:color w:val="000000"/>
          <w:sz w:val="22"/>
          <w:szCs w:val="22"/>
        </w:rPr>
        <w:t>,</w:t>
      </w:r>
      <w:r w:rsidR="00367045">
        <w:rPr>
          <w:rFonts w:ascii="Arial" w:hAnsi="Arial" w:cs="Arial"/>
          <w:color w:val="000000"/>
          <w:sz w:val="22"/>
          <w:szCs w:val="22"/>
        </w:rPr>
        <w:t xml:space="preserve"> </w:t>
      </w:r>
      <w:r>
        <w:rPr>
          <w:rFonts w:ascii="Arial" w:hAnsi="Arial" w:cs="Arial"/>
          <w:color w:val="000000"/>
          <w:sz w:val="22"/>
          <w:szCs w:val="22"/>
        </w:rPr>
        <w:t xml:space="preserve">from the </w:t>
      </w:r>
      <w:r w:rsidR="00A17AC7">
        <w:rPr>
          <w:rFonts w:ascii="Arial" w:hAnsi="Arial" w:cs="Arial"/>
          <w:color w:val="000000"/>
          <w:sz w:val="22"/>
          <w:szCs w:val="22"/>
        </w:rPr>
        <w:t xml:space="preserve">other artefacts with which they might have been found. </w:t>
      </w:r>
      <w:r w:rsidR="00AC5450">
        <w:rPr>
          <w:rFonts w:ascii="Arial" w:hAnsi="Arial" w:cs="Arial"/>
          <w:color w:val="000000"/>
          <w:sz w:val="22"/>
          <w:szCs w:val="22"/>
        </w:rPr>
        <w:t>Beyond</w:t>
      </w:r>
      <w:r w:rsidR="00A17AC7">
        <w:rPr>
          <w:rFonts w:ascii="Arial" w:hAnsi="Arial" w:cs="Arial"/>
          <w:color w:val="000000"/>
          <w:sz w:val="22"/>
          <w:szCs w:val="22"/>
        </w:rPr>
        <w:t xml:space="preserve"> providing absolute dates for a site’s chronological sequence, </w:t>
      </w:r>
      <w:r w:rsidR="001577E4">
        <w:rPr>
          <w:rFonts w:ascii="Arial" w:hAnsi="Arial" w:cs="Arial"/>
          <w:color w:val="000000"/>
          <w:sz w:val="22"/>
          <w:szCs w:val="22"/>
        </w:rPr>
        <w:t>coin reports tend to have little to add to the</w:t>
      </w:r>
      <w:r w:rsidR="006B3043">
        <w:rPr>
          <w:rFonts w:ascii="Arial" w:hAnsi="Arial" w:cs="Arial"/>
          <w:color w:val="000000"/>
          <w:sz w:val="22"/>
          <w:szCs w:val="22"/>
        </w:rPr>
        <w:t xml:space="preserve"> </w:t>
      </w:r>
      <w:r w:rsidR="001577E4">
        <w:rPr>
          <w:rFonts w:ascii="Arial" w:hAnsi="Arial" w:cs="Arial"/>
          <w:color w:val="000000"/>
          <w:sz w:val="22"/>
          <w:szCs w:val="22"/>
        </w:rPr>
        <w:t xml:space="preserve">broader </w:t>
      </w:r>
      <w:r w:rsidR="006B3043">
        <w:rPr>
          <w:rFonts w:ascii="Arial" w:hAnsi="Arial" w:cs="Arial"/>
          <w:color w:val="000000"/>
          <w:sz w:val="22"/>
          <w:szCs w:val="22"/>
        </w:rPr>
        <w:t>understanding of excavated Romano-British settlements and the</w:t>
      </w:r>
      <w:r w:rsidR="00367045">
        <w:rPr>
          <w:rFonts w:ascii="Arial" w:hAnsi="Arial" w:cs="Arial"/>
          <w:color w:val="000000"/>
          <w:sz w:val="22"/>
          <w:szCs w:val="22"/>
        </w:rPr>
        <w:t xml:space="preserve"> lives of their</w:t>
      </w:r>
      <w:r w:rsidR="006B3043">
        <w:rPr>
          <w:rFonts w:ascii="Arial" w:hAnsi="Arial" w:cs="Arial"/>
          <w:color w:val="000000"/>
          <w:sz w:val="22"/>
          <w:szCs w:val="22"/>
        </w:rPr>
        <w:t xml:space="preserve"> inhabitants.</w:t>
      </w:r>
    </w:p>
    <w:p w14:paraId="47339CBD" w14:textId="2210E5C3" w:rsidR="006B3043" w:rsidRDefault="006B3043" w:rsidP="006B5C66">
      <w:pPr>
        <w:jc w:val="both"/>
        <w:rPr>
          <w:rFonts w:ascii="Arial" w:hAnsi="Arial" w:cs="Arial"/>
          <w:color w:val="000000"/>
          <w:sz w:val="22"/>
          <w:szCs w:val="22"/>
        </w:rPr>
      </w:pPr>
    </w:p>
    <w:p w14:paraId="5805FB8F" w14:textId="09289F02" w:rsidR="00BC7D26" w:rsidRDefault="00BE0843" w:rsidP="006B5C66">
      <w:pPr>
        <w:jc w:val="both"/>
        <w:rPr>
          <w:rFonts w:ascii="Arial" w:hAnsi="Arial" w:cs="Arial"/>
          <w:color w:val="000000"/>
          <w:sz w:val="22"/>
          <w:szCs w:val="22"/>
        </w:rPr>
      </w:pPr>
      <w:r>
        <w:rPr>
          <w:rFonts w:ascii="Arial" w:hAnsi="Arial" w:cs="Arial"/>
          <w:color w:val="000000"/>
          <w:sz w:val="22"/>
          <w:szCs w:val="22"/>
        </w:rPr>
        <w:t>T</w:t>
      </w:r>
      <w:r w:rsidR="006B3043">
        <w:rPr>
          <w:rFonts w:ascii="Arial" w:hAnsi="Arial" w:cs="Arial"/>
          <w:color w:val="000000"/>
          <w:sz w:val="22"/>
          <w:szCs w:val="22"/>
        </w:rPr>
        <w:t xml:space="preserve">o achieve </w:t>
      </w:r>
      <w:r w:rsidR="000B33F8">
        <w:rPr>
          <w:rFonts w:ascii="Arial" w:hAnsi="Arial" w:cs="Arial"/>
          <w:color w:val="000000"/>
          <w:sz w:val="22"/>
          <w:szCs w:val="22"/>
        </w:rPr>
        <w:t xml:space="preserve">a more </w:t>
      </w:r>
      <w:r w:rsidR="00A65539">
        <w:rPr>
          <w:rFonts w:ascii="Arial" w:hAnsi="Arial" w:cs="Arial"/>
          <w:color w:val="000000"/>
          <w:sz w:val="22"/>
          <w:szCs w:val="22"/>
        </w:rPr>
        <w:t xml:space="preserve">universal </w:t>
      </w:r>
      <w:r w:rsidR="001577E4">
        <w:rPr>
          <w:rFonts w:ascii="Arial" w:hAnsi="Arial" w:cs="Arial"/>
          <w:color w:val="000000"/>
          <w:sz w:val="22"/>
          <w:szCs w:val="22"/>
        </w:rPr>
        <w:t>approach to the study</w:t>
      </w:r>
      <w:r w:rsidR="000B33F8">
        <w:rPr>
          <w:rFonts w:ascii="Arial" w:hAnsi="Arial" w:cs="Arial"/>
          <w:color w:val="000000"/>
          <w:sz w:val="22"/>
          <w:szCs w:val="22"/>
        </w:rPr>
        <w:t xml:space="preserve"> of site</w:t>
      </w:r>
      <w:r w:rsidR="00305B64">
        <w:rPr>
          <w:rFonts w:ascii="Arial" w:hAnsi="Arial" w:cs="Arial"/>
          <w:color w:val="000000"/>
          <w:sz w:val="22"/>
          <w:szCs w:val="22"/>
        </w:rPr>
        <w:t>-</w:t>
      </w:r>
      <w:r w:rsidR="000B33F8">
        <w:rPr>
          <w:rFonts w:ascii="Arial" w:hAnsi="Arial" w:cs="Arial"/>
          <w:color w:val="000000"/>
          <w:sz w:val="22"/>
          <w:szCs w:val="22"/>
        </w:rPr>
        <w:t>finds</w:t>
      </w:r>
      <w:r w:rsidR="006B3043">
        <w:rPr>
          <w:rFonts w:ascii="Arial" w:hAnsi="Arial" w:cs="Arial"/>
          <w:color w:val="000000"/>
          <w:sz w:val="22"/>
          <w:szCs w:val="22"/>
        </w:rPr>
        <w:t xml:space="preserve"> </w:t>
      </w:r>
      <w:r>
        <w:rPr>
          <w:rFonts w:ascii="Arial" w:hAnsi="Arial" w:cs="Arial"/>
          <w:color w:val="000000"/>
          <w:sz w:val="22"/>
          <w:szCs w:val="22"/>
        </w:rPr>
        <w:t xml:space="preserve">therefore </w:t>
      </w:r>
      <w:r w:rsidR="000B33F8">
        <w:rPr>
          <w:rFonts w:ascii="Arial" w:hAnsi="Arial" w:cs="Arial"/>
          <w:color w:val="000000"/>
          <w:sz w:val="22"/>
          <w:szCs w:val="22"/>
        </w:rPr>
        <w:t xml:space="preserve">requires bringing together </w:t>
      </w:r>
      <w:r w:rsidR="006B3043">
        <w:rPr>
          <w:rFonts w:ascii="Arial" w:hAnsi="Arial" w:cs="Arial"/>
          <w:color w:val="000000"/>
          <w:sz w:val="22"/>
          <w:szCs w:val="22"/>
        </w:rPr>
        <w:t>numismatic and archaeological knowledge</w:t>
      </w:r>
      <w:r w:rsidR="00A8622B">
        <w:rPr>
          <w:rFonts w:ascii="Arial" w:hAnsi="Arial" w:cs="Arial"/>
          <w:color w:val="000000"/>
          <w:sz w:val="22"/>
          <w:szCs w:val="22"/>
        </w:rPr>
        <w:t xml:space="preserve"> and understanding</w:t>
      </w:r>
      <w:r w:rsidR="006B3043">
        <w:rPr>
          <w:rFonts w:ascii="Arial" w:hAnsi="Arial" w:cs="Arial"/>
          <w:color w:val="000000"/>
          <w:sz w:val="22"/>
          <w:szCs w:val="22"/>
        </w:rPr>
        <w:t>.</w:t>
      </w:r>
      <w:r w:rsidR="00AC5450">
        <w:rPr>
          <w:rFonts w:ascii="Arial" w:hAnsi="Arial" w:cs="Arial"/>
          <w:color w:val="000000"/>
          <w:sz w:val="22"/>
          <w:szCs w:val="22"/>
        </w:rPr>
        <w:t xml:space="preserve"> </w:t>
      </w:r>
      <w:r w:rsidR="003A11FB">
        <w:rPr>
          <w:rFonts w:ascii="Arial" w:hAnsi="Arial" w:cs="Arial"/>
          <w:color w:val="000000"/>
          <w:sz w:val="22"/>
          <w:szCs w:val="22"/>
        </w:rPr>
        <w:t xml:space="preserve">A </w:t>
      </w:r>
      <w:r w:rsidR="00AC5450">
        <w:rPr>
          <w:rFonts w:ascii="Arial" w:hAnsi="Arial" w:cs="Arial"/>
          <w:color w:val="000000"/>
          <w:sz w:val="22"/>
          <w:szCs w:val="22"/>
        </w:rPr>
        <w:t>better</w:t>
      </w:r>
      <w:r w:rsidR="003A11FB">
        <w:rPr>
          <w:rFonts w:ascii="Arial" w:hAnsi="Arial" w:cs="Arial"/>
          <w:color w:val="000000"/>
          <w:sz w:val="22"/>
          <w:szCs w:val="22"/>
        </w:rPr>
        <w:t xml:space="preserve"> appreciation of t</w:t>
      </w:r>
      <w:r w:rsidR="00CB7164">
        <w:rPr>
          <w:rFonts w:ascii="Arial" w:hAnsi="Arial" w:cs="Arial"/>
          <w:color w:val="000000"/>
          <w:sz w:val="22"/>
          <w:szCs w:val="22"/>
        </w:rPr>
        <w:t xml:space="preserve">he archaeological contexts </w:t>
      </w:r>
      <w:r w:rsidR="003A11FB">
        <w:rPr>
          <w:rFonts w:ascii="Arial" w:hAnsi="Arial" w:cs="Arial"/>
          <w:color w:val="000000"/>
          <w:sz w:val="22"/>
          <w:szCs w:val="22"/>
        </w:rPr>
        <w:t>that produce Roman coins is an obvious starting point</w:t>
      </w:r>
      <w:r w:rsidR="00364103">
        <w:rPr>
          <w:rFonts w:ascii="Arial" w:hAnsi="Arial" w:cs="Arial"/>
          <w:color w:val="000000"/>
          <w:sz w:val="22"/>
          <w:szCs w:val="22"/>
        </w:rPr>
        <w:t>;</w:t>
      </w:r>
      <w:r w:rsidR="003A11FB">
        <w:rPr>
          <w:rFonts w:ascii="Arial" w:hAnsi="Arial" w:cs="Arial"/>
          <w:color w:val="000000"/>
          <w:sz w:val="22"/>
          <w:szCs w:val="22"/>
        </w:rPr>
        <w:t xml:space="preserve"> </w:t>
      </w:r>
      <w:r w:rsidR="00364103">
        <w:rPr>
          <w:rFonts w:ascii="Arial" w:hAnsi="Arial" w:cs="Arial"/>
          <w:color w:val="000000"/>
          <w:sz w:val="22"/>
          <w:szCs w:val="22"/>
        </w:rPr>
        <w:t>a</w:t>
      </w:r>
      <w:r w:rsidR="00AC5450">
        <w:rPr>
          <w:rFonts w:ascii="Arial" w:hAnsi="Arial" w:cs="Arial"/>
          <w:color w:val="000000"/>
          <w:sz w:val="22"/>
          <w:szCs w:val="22"/>
        </w:rPr>
        <w:t xml:space="preserve"> </w:t>
      </w:r>
      <w:r w:rsidR="003A11FB">
        <w:rPr>
          <w:rFonts w:ascii="Arial" w:hAnsi="Arial" w:cs="Arial"/>
          <w:color w:val="000000"/>
          <w:sz w:val="22"/>
          <w:szCs w:val="22"/>
        </w:rPr>
        <w:t>coin dropped during a commercial transaction in a shop or at a market stall</w:t>
      </w:r>
      <w:r w:rsidR="00AC5450">
        <w:rPr>
          <w:rFonts w:ascii="Arial" w:hAnsi="Arial" w:cs="Arial"/>
          <w:color w:val="000000"/>
          <w:sz w:val="22"/>
          <w:szCs w:val="22"/>
        </w:rPr>
        <w:t>, for example,</w:t>
      </w:r>
      <w:r w:rsidR="003A11FB">
        <w:rPr>
          <w:rFonts w:ascii="Arial" w:hAnsi="Arial" w:cs="Arial"/>
          <w:color w:val="000000"/>
          <w:sz w:val="22"/>
          <w:szCs w:val="22"/>
        </w:rPr>
        <w:t xml:space="preserve"> became an archaeological </w:t>
      </w:r>
      <w:r w:rsidR="00364103">
        <w:rPr>
          <w:rFonts w:ascii="Arial" w:hAnsi="Arial" w:cs="Arial"/>
          <w:color w:val="000000"/>
          <w:sz w:val="22"/>
          <w:szCs w:val="22"/>
        </w:rPr>
        <w:t>artefact</w:t>
      </w:r>
      <w:r w:rsidR="003A11FB">
        <w:rPr>
          <w:rFonts w:ascii="Arial" w:hAnsi="Arial" w:cs="Arial"/>
          <w:color w:val="000000"/>
          <w:sz w:val="22"/>
          <w:szCs w:val="22"/>
        </w:rPr>
        <w:t xml:space="preserve"> in different circumstances to </w:t>
      </w:r>
      <w:r w:rsidR="00FB7C73">
        <w:rPr>
          <w:rFonts w:ascii="Arial" w:hAnsi="Arial" w:cs="Arial"/>
          <w:color w:val="000000"/>
          <w:sz w:val="22"/>
          <w:szCs w:val="22"/>
        </w:rPr>
        <w:t xml:space="preserve">a </w:t>
      </w:r>
      <w:r w:rsidR="003A11FB">
        <w:rPr>
          <w:rFonts w:ascii="Arial" w:hAnsi="Arial" w:cs="Arial"/>
          <w:color w:val="000000"/>
          <w:sz w:val="22"/>
          <w:szCs w:val="22"/>
        </w:rPr>
        <w:t xml:space="preserve">coin </w:t>
      </w:r>
      <w:r w:rsidR="00FB7C73">
        <w:rPr>
          <w:rFonts w:ascii="Arial" w:hAnsi="Arial" w:cs="Arial"/>
          <w:color w:val="000000"/>
          <w:sz w:val="22"/>
          <w:szCs w:val="22"/>
        </w:rPr>
        <w:t xml:space="preserve">recovered from a pit filled with domestic rubbish, or a coin </w:t>
      </w:r>
      <w:r w:rsidR="003A11FB">
        <w:rPr>
          <w:rFonts w:ascii="Arial" w:hAnsi="Arial" w:cs="Arial"/>
          <w:color w:val="000000"/>
          <w:sz w:val="22"/>
          <w:szCs w:val="22"/>
        </w:rPr>
        <w:t xml:space="preserve">placed in a </w:t>
      </w:r>
      <w:r w:rsidR="00FB7C73">
        <w:rPr>
          <w:rFonts w:ascii="Arial" w:hAnsi="Arial" w:cs="Arial"/>
          <w:color w:val="000000"/>
          <w:sz w:val="22"/>
          <w:szCs w:val="22"/>
        </w:rPr>
        <w:t>grave.</w:t>
      </w:r>
    </w:p>
    <w:p w14:paraId="2A7F4D90" w14:textId="70CF66D9" w:rsidR="00FB7C73" w:rsidRDefault="00FB7C73" w:rsidP="006B5C66">
      <w:pPr>
        <w:jc w:val="both"/>
        <w:rPr>
          <w:rFonts w:ascii="Arial" w:hAnsi="Arial" w:cs="Arial"/>
          <w:color w:val="000000"/>
          <w:sz w:val="22"/>
          <w:szCs w:val="22"/>
        </w:rPr>
      </w:pPr>
    </w:p>
    <w:p w14:paraId="71FA3278" w14:textId="4CAACEE6" w:rsidR="00EA4718" w:rsidRPr="00EA4718" w:rsidRDefault="00364103" w:rsidP="006B5C66">
      <w:pPr>
        <w:jc w:val="both"/>
        <w:rPr>
          <w:rFonts w:ascii="Arial" w:hAnsi="Arial" w:cs="Arial"/>
          <w:color w:val="000000"/>
          <w:sz w:val="22"/>
          <w:szCs w:val="22"/>
        </w:rPr>
      </w:pPr>
      <w:r>
        <w:rPr>
          <w:rFonts w:ascii="Arial" w:hAnsi="Arial" w:cs="Arial"/>
          <w:color w:val="000000"/>
          <w:sz w:val="22"/>
          <w:szCs w:val="22"/>
        </w:rPr>
        <w:t>U</w:t>
      </w:r>
      <w:r w:rsidR="00FB7C73">
        <w:rPr>
          <w:rFonts w:ascii="Arial" w:hAnsi="Arial" w:cs="Arial"/>
          <w:color w:val="000000"/>
          <w:sz w:val="22"/>
          <w:szCs w:val="22"/>
        </w:rPr>
        <w:t xml:space="preserve">nderstanding site formation processes and archaeological stratigraphy is </w:t>
      </w:r>
      <w:r w:rsidR="001577E4">
        <w:rPr>
          <w:rFonts w:ascii="Arial" w:hAnsi="Arial" w:cs="Arial"/>
          <w:color w:val="000000"/>
          <w:sz w:val="22"/>
          <w:szCs w:val="22"/>
        </w:rPr>
        <w:t xml:space="preserve">vitally </w:t>
      </w:r>
      <w:r w:rsidR="00FB7C73">
        <w:rPr>
          <w:rFonts w:ascii="Arial" w:hAnsi="Arial" w:cs="Arial"/>
          <w:color w:val="000000"/>
          <w:sz w:val="22"/>
          <w:szCs w:val="22"/>
        </w:rPr>
        <w:t>important in the study of site</w:t>
      </w:r>
      <w:r w:rsidR="00305B64">
        <w:rPr>
          <w:rFonts w:ascii="Arial" w:hAnsi="Arial" w:cs="Arial"/>
          <w:color w:val="000000"/>
          <w:sz w:val="22"/>
          <w:szCs w:val="22"/>
        </w:rPr>
        <w:t>-</w:t>
      </w:r>
      <w:r w:rsidR="00FB7C73">
        <w:rPr>
          <w:rFonts w:ascii="Arial" w:hAnsi="Arial" w:cs="Arial"/>
          <w:color w:val="000000"/>
          <w:sz w:val="22"/>
          <w:szCs w:val="22"/>
        </w:rPr>
        <w:t xml:space="preserve">finds. </w:t>
      </w:r>
      <w:r w:rsidR="00411F74">
        <w:rPr>
          <w:rFonts w:ascii="Arial" w:hAnsi="Arial" w:cs="Arial"/>
          <w:color w:val="000000"/>
          <w:sz w:val="22"/>
          <w:szCs w:val="22"/>
        </w:rPr>
        <w:t>Coins</w:t>
      </w:r>
      <w:r w:rsidR="00EA4718">
        <w:rPr>
          <w:rFonts w:ascii="Arial" w:hAnsi="Arial" w:cs="Arial"/>
          <w:color w:val="000000"/>
          <w:sz w:val="22"/>
          <w:szCs w:val="22"/>
        </w:rPr>
        <w:t xml:space="preserve"> </w:t>
      </w:r>
      <w:r w:rsidR="00C3663D">
        <w:rPr>
          <w:rFonts w:ascii="Arial" w:hAnsi="Arial" w:cs="Arial"/>
          <w:color w:val="000000"/>
          <w:sz w:val="22"/>
          <w:szCs w:val="22"/>
        </w:rPr>
        <w:t>are</w:t>
      </w:r>
      <w:r w:rsidR="00EA4718">
        <w:rPr>
          <w:rFonts w:ascii="Arial" w:hAnsi="Arial" w:cs="Arial"/>
          <w:color w:val="000000"/>
          <w:sz w:val="22"/>
          <w:szCs w:val="22"/>
        </w:rPr>
        <w:t xml:space="preserve"> cultural </w:t>
      </w:r>
      <w:r w:rsidR="00AC5450">
        <w:rPr>
          <w:rFonts w:ascii="Arial" w:hAnsi="Arial" w:cs="Arial"/>
          <w:color w:val="000000"/>
          <w:sz w:val="22"/>
          <w:szCs w:val="22"/>
        </w:rPr>
        <w:t xml:space="preserve">as well as monetary </w:t>
      </w:r>
      <w:r w:rsidR="00EA4718">
        <w:rPr>
          <w:rFonts w:ascii="Arial" w:hAnsi="Arial" w:cs="Arial"/>
          <w:color w:val="000000"/>
          <w:sz w:val="22"/>
          <w:szCs w:val="22"/>
        </w:rPr>
        <w:t>objects that had historie</w:t>
      </w:r>
      <w:r w:rsidR="000E2CE7">
        <w:rPr>
          <w:rFonts w:ascii="Arial" w:hAnsi="Arial" w:cs="Arial"/>
          <w:color w:val="000000"/>
          <w:sz w:val="22"/>
          <w:szCs w:val="22"/>
        </w:rPr>
        <w:t>s</w:t>
      </w:r>
      <w:r w:rsidR="00EA4718">
        <w:rPr>
          <w:rFonts w:ascii="Arial" w:hAnsi="Arial" w:cs="Arial"/>
          <w:color w:val="000000"/>
          <w:sz w:val="22"/>
          <w:szCs w:val="22"/>
        </w:rPr>
        <w:t xml:space="preserve"> after the moment when they were struck and issued into circulation. </w:t>
      </w:r>
      <w:r w:rsidR="00FB7C73">
        <w:rPr>
          <w:rFonts w:ascii="Arial" w:hAnsi="Arial" w:cs="Arial"/>
          <w:color w:val="000000"/>
          <w:sz w:val="22"/>
          <w:szCs w:val="22"/>
        </w:rPr>
        <w:t>Object</w:t>
      </w:r>
      <w:r w:rsidR="00EA4718">
        <w:rPr>
          <w:rFonts w:ascii="Arial" w:hAnsi="Arial" w:cs="Arial"/>
          <w:color w:val="000000"/>
          <w:sz w:val="22"/>
          <w:szCs w:val="22"/>
        </w:rPr>
        <w:t xml:space="preserve"> (or artefact) </w:t>
      </w:r>
      <w:r w:rsidR="00FB7C73">
        <w:rPr>
          <w:rFonts w:ascii="Arial" w:hAnsi="Arial" w:cs="Arial"/>
          <w:color w:val="000000"/>
          <w:sz w:val="22"/>
          <w:szCs w:val="22"/>
        </w:rPr>
        <w:t xml:space="preserve">biography </w:t>
      </w:r>
      <w:r w:rsidR="00EA4718">
        <w:rPr>
          <w:rFonts w:ascii="Arial" w:hAnsi="Arial" w:cs="Arial"/>
          <w:color w:val="000000"/>
          <w:sz w:val="22"/>
          <w:szCs w:val="22"/>
        </w:rPr>
        <w:t xml:space="preserve">is one </w:t>
      </w:r>
      <w:r w:rsidR="00C3663D">
        <w:rPr>
          <w:rFonts w:ascii="Arial" w:hAnsi="Arial" w:cs="Arial"/>
          <w:color w:val="000000"/>
          <w:sz w:val="22"/>
          <w:szCs w:val="22"/>
        </w:rPr>
        <w:t>approach</w:t>
      </w:r>
      <w:r w:rsidR="00EA4718">
        <w:rPr>
          <w:rFonts w:ascii="Arial" w:hAnsi="Arial" w:cs="Arial"/>
          <w:color w:val="000000"/>
          <w:sz w:val="22"/>
          <w:szCs w:val="22"/>
        </w:rPr>
        <w:t xml:space="preserve"> </w:t>
      </w:r>
      <w:r w:rsidR="00C3663D">
        <w:rPr>
          <w:rFonts w:ascii="Arial" w:hAnsi="Arial" w:cs="Arial"/>
          <w:color w:val="000000"/>
          <w:sz w:val="22"/>
          <w:szCs w:val="22"/>
        </w:rPr>
        <w:t>to</w:t>
      </w:r>
      <w:r w:rsidR="00EA4718">
        <w:rPr>
          <w:rFonts w:ascii="Arial" w:hAnsi="Arial" w:cs="Arial"/>
          <w:color w:val="000000"/>
          <w:sz w:val="22"/>
          <w:szCs w:val="22"/>
        </w:rPr>
        <w:t xml:space="preserve"> exploring these important archaeological themes, which </w:t>
      </w:r>
      <w:r w:rsidR="000E2CE7">
        <w:rPr>
          <w:rFonts w:ascii="Arial" w:hAnsi="Arial" w:cs="Arial"/>
          <w:color w:val="000000"/>
          <w:sz w:val="22"/>
          <w:szCs w:val="22"/>
        </w:rPr>
        <w:t>can</w:t>
      </w:r>
      <w:r w:rsidR="00EA4718">
        <w:rPr>
          <w:rFonts w:ascii="Arial" w:hAnsi="Arial" w:cs="Arial"/>
          <w:color w:val="000000"/>
          <w:sz w:val="22"/>
          <w:szCs w:val="22"/>
        </w:rPr>
        <w:t xml:space="preserve"> be </w:t>
      </w:r>
      <w:r w:rsidR="000B33F8">
        <w:rPr>
          <w:rFonts w:ascii="Arial" w:hAnsi="Arial" w:cs="Arial"/>
          <w:color w:val="000000"/>
          <w:sz w:val="22"/>
          <w:szCs w:val="22"/>
        </w:rPr>
        <w:t xml:space="preserve">envisaged as consisting of the </w:t>
      </w:r>
      <w:r w:rsidR="00EA4718" w:rsidRPr="00EA4718">
        <w:rPr>
          <w:rFonts w:ascii="Arial" w:hAnsi="Arial" w:cs="Arial"/>
          <w:color w:val="000000"/>
          <w:sz w:val="22"/>
          <w:szCs w:val="22"/>
        </w:rPr>
        <w:t xml:space="preserve">following </w:t>
      </w:r>
      <w:r w:rsidR="00A65539">
        <w:rPr>
          <w:rFonts w:ascii="Arial" w:hAnsi="Arial" w:cs="Arial"/>
          <w:color w:val="000000"/>
          <w:sz w:val="22"/>
          <w:szCs w:val="22"/>
        </w:rPr>
        <w:t xml:space="preserve">connected </w:t>
      </w:r>
      <w:r w:rsidR="00411F74">
        <w:rPr>
          <w:rFonts w:ascii="Arial" w:hAnsi="Arial" w:cs="Arial"/>
          <w:color w:val="000000"/>
          <w:sz w:val="22"/>
          <w:szCs w:val="22"/>
        </w:rPr>
        <w:t xml:space="preserve">episodes </w:t>
      </w:r>
      <w:r w:rsidR="000B33F8">
        <w:rPr>
          <w:rFonts w:ascii="Arial" w:hAnsi="Arial" w:cs="Arial"/>
          <w:color w:val="000000"/>
          <w:sz w:val="22"/>
          <w:szCs w:val="22"/>
        </w:rPr>
        <w:t>in a coin’s use-life</w:t>
      </w:r>
      <w:r w:rsidR="00EA4718" w:rsidRPr="00EA4718">
        <w:rPr>
          <w:rFonts w:ascii="Arial" w:hAnsi="Arial" w:cs="Arial"/>
          <w:color w:val="000000"/>
          <w:sz w:val="22"/>
          <w:szCs w:val="22"/>
        </w:rPr>
        <w:t>:</w:t>
      </w:r>
    </w:p>
    <w:p w14:paraId="266F27E5" w14:textId="2428BA4A" w:rsidR="00EA4718" w:rsidRPr="00EA4718" w:rsidRDefault="00EA4718" w:rsidP="006B5C66">
      <w:pPr>
        <w:numPr>
          <w:ilvl w:val="2"/>
          <w:numId w:val="7"/>
        </w:numPr>
        <w:tabs>
          <w:tab w:val="clear" w:pos="2160"/>
        </w:tabs>
        <w:ind w:left="709"/>
        <w:jc w:val="both"/>
        <w:rPr>
          <w:rFonts w:ascii="Arial" w:hAnsi="Arial" w:cs="Arial"/>
          <w:color w:val="000000"/>
          <w:sz w:val="22"/>
          <w:szCs w:val="22"/>
        </w:rPr>
      </w:pPr>
      <w:r w:rsidRPr="00EA4718">
        <w:rPr>
          <w:rFonts w:ascii="Arial" w:hAnsi="Arial" w:cs="Arial"/>
          <w:color w:val="000000"/>
          <w:sz w:val="22"/>
          <w:szCs w:val="22"/>
        </w:rPr>
        <w:t>Production</w:t>
      </w:r>
    </w:p>
    <w:p w14:paraId="115A513D" w14:textId="18974F7C" w:rsidR="00EA4718" w:rsidRPr="00EA4718" w:rsidRDefault="00EA4718" w:rsidP="006B5C66">
      <w:pPr>
        <w:numPr>
          <w:ilvl w:val="2"/>
          <w:numId w:val="7"/>
        </w:numPr>
        <w:tabs>
          <w:tab w:val="clear" w:pos="2160"/>
        </w:tabs>
        <w:ind w:left="709"/>
        <w:jc w:val="both"/>
        <w:rPr>
          <w:rFonts w:ascii="Arial" w:hAnsi="Arial" w:cs="Arial"/>
          <w:color w:val="000000"/>
          <w:sz w:val="22"/>
          <w:szCs w:val="22"/>
        </w:rPr>
      </w:pPr>
      <w:r w:rsidRPr="00EA4718">
        <w:rPr>
          <w:rFonts w:ascii="Arial" w:hAnsi="Arial" w:cs="Arial"/>
          <w:color w:val="000000"/>
          <w:sz w:val="22"/>
          <w:szCs w:val="22"/>
        </w:rPr>
        <w:t>Supply</w:t>
      </w:r>
    </w:p>
    <w:p w14:paraId="50EB4ADB" w14:textId="0C8851DE" w:rsidR="00EA4718" w:rsidRPr="00EA4718" w:rsidRDefault="00EA4718" w:rsidP="006B5C66">
      <w:pPr>
        <w:numPr>
          <w:ilvl w:val="2"/>
          <w:numId w:val="7"/>
        </w:numPr>
        <w:tabs>
          <w:tab w:val="clear" w:pos="2160"/>
        </w:tabs>
        <w:ind w:left="709"/>
        <w:jc w:val="both"/>
        <w:rPr>
          <w:rFonts w:ascii="Arial" w:hAnsi="Arial" w:cs="Arial"/>
          <w:color w:val="000000"/>
          <w:sz w:val="22"/>
          <w:szCs w:val="22"/>
        </w:rPr>
      </w:pPr>
      <w:r w:rsidRPr="00EA4718">
        <w:rPr>
          <w:rFonts w:ascii="Arial" w:hAnsi="Arial" w:cs="Arial"/>
          <w:color w:val="000000"/>
          <w:sz w:val="22"/>
          <w:szCs w:val="22"/>
        </w:rPr>
        <w:t>Use / circulation  / reuse</w:t>
      </w:r>
    </w:p>
    <w:p w14:paraId="6DA38826" w14:textId="1CDB03DD" w:rsidR="00EA4718" w:rsidRPr="00EA4718" w:rsidRDefault="00EA4718" w:rsidP="006B5C66">
      <w:pPr>
        <w:numPr>
          <w:ilvl w:val="2"/>
          <w:numId w:val="7"/>
        </w:numPr>
        <w:tabs>
          <w:tab w:val="clear" w:pos="2160"/>
        </w:tabs>
        <w:ind w:left="709"/>
        <w:jc w:val="both"/>
        <w:rPr>
          <w:rFonts w:ascii="Arial" w:hAnsi="Arial" w:cs="Arial"/>
          <w:color w:val="000000"/>
          <w:sz w:val="22"/>
          <w:szCs w:val="22"/>
        </w:rPr>
      </w:pPr>
      <w:r w:rsidRPr="00EA4718">
        <w:rPr>
          <w:rFonts w:ascii="Arial" w:hAnsi="Arial" w:cs="Arial"/>
          <w:color w:val="000000"/>
          <w:sz w:val="22"/>
          <w:szCs w:val="22"/>
        </w:rPr>
        <w:t>Loss / disposal</w:t>
      </w:r>
    </w:p>
    <w:p w14:paraId="35AB1CC8" w14:textId="69C85C3B" w:rsidR="00EA4718" w:rsidRPr="00EA4718" w:rsidRDefault="00EA4718" w:rsidP="006B5C66">
      <w:pPr>
        <w:numPr>
          <w:ilvl w:val="2"/>
          <w:numId w:val="7"/>
        </w:numPr>
        <w:tabs>
          <w:tab w:val="clear" w:pos="2160"/>
        </w:tabs>
        <w:ind w:left="709"/>
        <w:jc w:val="both"/>
        <w:rPr>
          <w:rFonts w:ascii="Arial" w:hAnsi="Arial" w:cs="Arial"/>
          <w:color w:val="000000"/>
          <w:sz w:val="22"/>
          <w:szCs w:val="22"/>
        </w:rPr>
      </w:pPr>
      <w:r w:rsidRPr="00EA4718">
        <w:rPr>
          <w:rFonts w:ascii="Arial" w:hAnsi="Arial" w:cs="Arial"/>
          <w:color w:val="000000"/>
          <w:sz w:val="22"/>
          <w:szCs w:val="22"/>
        </w:rPr>
        <w:t>Discovery</w:t>
      </w:r>
    </w:p>
    <w:p w14:paraId="007BEB9E" w14:textId="77777777" w:rsidR="00EA4718" w:rsidRPr="00EA4718" w:rsidRDefault="00EA4718" w:rsidP="006B5C66">
      <w:pPr>
        <w:numPr>
          <w:ilvl w:val="2"/>
          <w:numId w:val="7"/>
        </w:numPr>
        <w:tabs>
          <w:tab w:val="clear" w:pos="2160"/>
        </w:tabs>
        <w:ind w:left="709"/>
        <w:jc w:val="both"/>
        <w:rPr>
          <w:rFonts w:ascii="Arial" w:hAnsi="Arial" w:cs="Arial"/>
          <w:color w:val="000000"/>
          <w:sz w:val="22"/>
          <w:szCs w:val="22"/>
        </w:rPr>
      </w:pPr>
      <w:r w:rsidRPr="00EA4718">
        <w:rPr>
          <w:rFonts w:ascii="Arial" w:hAnsi="Arial" w:cs="Arial"/>
          <w:color w:val="000000"/>
          <w:sz w:val="22"/>
          <w:szCs w:val="22"/>
        </w:rPr>
        <w:t>Archaeological / museum artefact</w:t>
      </w:r>
    </w:p>
    <w:p w14:paraId="7980B9A5" w14:textId="5A5EE819" w:rsidR="00F426D4" w:rsidRDefault="00F426D4" w:rsidP="006B5C66">
      <w:pPr>
        <w:jc w:val="both"/>
        <w:rPr>
          <w:rFonts w:ascii="Arial" w:hAnsi="Arial" w:cs="Arial"/>
          <w:color w:val="000000"/>
          <w:sz w:val="22"/>
          <w:szCs w:val="22"/>
        </w:rPr>
      </w:pPr>
    </w:p>
    <w:p w14:paraId="01609F0E" w14:textId="77777777" w:rsidR="002B6D16" w:rsidRDefault="002B6D16" w:rsidP="006B5C66">
      <w:pPr>
        <w:jc w:val="both"/>
        <w:rPr>
          <w:rFonts w:ascii="Arial" w:hAnsi="Arial" w:cs="Arial"/>
          <w:sz w:val="22"/>
          <w:szCs w:val="22"/>
        </w:rPr>
      </w:pPr>
      <w:r>
        <w:rPr>
          <w:rFonts w:ascii="Arial" w:hAnsi="Arial" w:cs="Arial"/>
          <w:sz w:val="22"/>
          <w:szCs w:val="22"/>
        </w:rPr>
        <w:t>References:</w:t>
      </w:r>
    </w:p>
    <w:p w14:paraId="73CBC89E" w14:textId="77777777" w:rsidR="00413C2C" w:rsidRPr="00253D36" w:rsidRDefault="00413C2C" w:rsidP="006B5C66">
      <w:pPr>
        <w:pStyle w:val="ListParagraph"/>
        <w:numPr>
          <w:ilvl w:val="0"/>
          <w:numId w:val="8"/>
        </w:numPr>
        <w:jc w:val="both"/>
        <w:rPr>
          <w:rFonts w:ascii="Arial" w:hAnsi="Arial" w:cs="Arial"/>
          <w:color w:val="000000"/>
          <w:sz w:val="22"/>
          <w:szCs w:val="22"/>
        </w:rPr>
      </w:pPr>
      <w:r w:rsidRPr="00253D36">
        <w:rPr>
          <w:rFonts w:ascii="Arial" w:hAnsi="Arial" w:cs="Arial"/>
          <w:color w:val="000000"/>
          <w:sz w:val="22"/>
          <w:szCs w:val="22"/>
        </w:rPr>
        <w:t xml:space="preserve">Eckardt, H. and Walton, P. 2021. </w:t>
      </w:r>
      <w:r w:rsidRPr="00253D36">
        <w:rPr>
          <w:rFonts w:ascii="Arial" w:hAnsi="Arial" w:cs="Arial"/>
          <w:i/>
          <w:iCs/>
          <w:color w:val="000000"/>
          <w:sz w:val="22"/>
          <w:szCs w:val="22"/>
        </w:rPr>
        <w:t>Bridge over Troubled Water: The Roman Finds from the River Tees at Piercebridge in Context</w:t>
      </w:r>
      <w:r w:rsidRPr="00253D36">
        <w:rPr>
          <w:rFonts w:ascii="Arial" w:hAnsi="Arial" w:cs="Arial"/>
          <w:color w:val="000000"/>
          <w:sz w:val="22"/>
          <w:szCs w:val="22"/>
        </w:rPr>
        <w:t>. London.</w:t>
      </w:r>
    </w:p>
    <w:p w14:paraId="6658A985" w14:textId="705E7146" w:rsidR="002A16EC" w:rsidRPr="00253D36" w:rsidRDefault="002A16EC" w:rsidP="006B5C66">
      <w:pPr>
        <w:pStyle w:val="ListParagraph"/>
        <w:numPr>
          <w:ilvl w:val="0"/>
          <w:numId w:val="8"/>
        </w:numPr>
        <w:tabs>
          <w:tab w:val="left" w:pos="1134"/>
        </w:tabs>
        <w:contextualSpacing w:val="0"/>
        <w:rPr>
          <w:rFonts w:ascii="Arial" w:hAnsi="Arial" w:cs="Arial"/>
          <w:sz w:val="22"/>
          <w:szCs w:val="22"/>
        </w:rPr>
      </w:pPr>
      <w:r>
        <w:rPr>
          <w:rFonts w:ascii="Arial" w:hAnsi="Arial" w:cs="Arial"/>
          <w:sz w:val="22"/>
          <w:szCs w:val="22"/>
        </w:rPr>
        <w:t xml:space="preserve">Walker, D. R. 1986. </w:t>
      </w:r>
      <w:r>
        <w:rPr>
          <w:rFonts w:ascii="Arial" w:hAnsi="Arial" w:cs="Arial"/>
          <w:i/>
          <w:iCs/>
          <w:sz w:val="22"/>
          <w:szCs w:val="22"/>
        </w:rPr>
        <w:t>Roman Coins from the Sacred Spring at Bath</w:t>
      </w:r>
      <w:r>
        <w:rPr>
          <w:rFonts w:ascii="Arial" w:hAnsi="Arial" w:cs="Arial"/>
          <w:sz w:val="22"/>
          <w:szCs w:val="22"/>
        </w:rPr>
        <w:t>. Oxford.</w:t>
      </w:r>
    </w:p>
    <w:p w14:paraId="466F081C" w14:textId="77777777" w:rsidR="00713011" w:rsidRPr="00174F03" w:rsidRDefault="00713011" w:rsidP="00713011">
      <w:pPr>
        <w:pBdr>
          <w:bottom w:val="single" w:sz="6" w:space="1" w:color="auto"/>
        </w:pBdr>
        <w:rPr>
          <w:rFonts w:ascii="Arial" w:hAnsi="Arial" w:cs="Arial"/>
          <w:bCs/>
          <w:sz w:val="22"/>
          <w:szCs w:val="22"/>
        </w:rPr>
      </w:pPr>
    </w:p>
    <w:p w14:paraId="07B50CB4" w14:textId="77777777" w:rsidR="00A24BF5" w:rsidRDefault="00A24BF5" w:rsidP="00713011">
      <w:pPr>
        <w:jc w:val="both"/>
        <w:rPr>
          <w:rFonts w:ascii="Arial" w:hAnsi="Arial" w:cs="Arial"/>
          <w:color w:val="000000"/>
          <w:sz w:val="22"/>
          <w:szCs w:val="22"/>
        </w:rPr>
      </w:pPr>
    </w:p>
    <w:p w14:paraId="60A3940B" w14:textId="58476DCF" w:rsidR="00A24BF5" w:rsidRPr="006B5C66" w:rsidRDefault="006B5C66" w:rsidP="006B5C66">
      <w:pPr>
        <w:ind w:left="360"/>
        <w:jc w:val="center"/>
        <w:rPr>
          <w:rFonts w:ascii="Arial" w:hAnsi="Arial" w:cs="Arial"/>
          <w:b/>
          <w:bCs/>
          <w:color w:val="731472"/>
          <w:sz w:val="22"/>
          <w:szCs w:val="22"/>
        </w:rPr>
      </w:pPr>
      <w:r w:rsidRPr="006B5C66">
        <w:rPr>
          <w:rFonts w:ascii="Arial" w:hAnsi="Arial" w:cs="Arial"/>
          <w:b/>
          <w:bCs/>
          <w:color w:val="731472"/>
          <w:sz w:val="22"/>
          <w:szCs w:val="22"/>
        </w:rPr>
        <w:t>CURRENT STANDARDS AND GUIDANCE</w:t>
      </w:r>
    </w:p>
    <w:p w14:paraId="0BB57D9F" w14:textId="4CA0FA6D" w:rsidR="00D91B96" w:rsidRPr="006B5C66" w:rsidRDefault="00D91B96" w:rsidP="006B5C66">
      <w:pPr>
        <w:ind w:left="360"/>
        <w:jc w:val="both"/>
        <w:rPr>
          <w:rFonts w:ascii="Arial" w:hAnsi="Arial" w:cs="Arial"/>
          <w:b/>
          <w:bCs/>
          <w:color w:val="731472"/>
          <w:sz w:val="22"/>
          <w:szCs w:val="22"/>
        </w:rPr>
      </w:pPr>
    </w:p>
    <w:p w14:paraId="519E9F0A" w14:textId="5E93AC95" w:rsidR="00D91B96" w:rsidRPr="003D3782" w:rsidRDefault="00D91B96" w:rsidP="006B5C66">
      <w:pPr>
        <w:rPr>
          <w:rFonts w:ascii="Arial" w:hAnsi="Arial" w:cs="Arial"/>
          <w:color w:val="731472"/>
          <w:sz w:val="22"/>
          <w:szCs w:val="22"/>
        </w:rPr>
      </w:pPr>
      <w:r w:rsidRPr="003D3782">
        <w:rPr>
          <w:rFonts w:ascii="Arial" w:hAnsi="Arial" w:cs="Arial"/>
          <w:color w:val="731472"/>
          <w:sz w:val="22"/>
          <w:szCs w:val="22"/>
        </w:rPr>
        <w:t xml:space="preserve">General standards </w:t>
      </w:r>
      <w:r w:rsidR="006B5C66" w:rsidRPr="003D3782">
        <w:rPr>
          <w:rFonts w:ascii="Arial" w:hAnsi="Arial" w:cs="Arial"/>
          <w:color w:val="731472"/>
          <w:sz w:val="22"/>
          <w:szCs w:val="22"/>
        </w:rPr>
        <w:t>and guides to good practice</w:t>
      </w:r>
    </w:p>
    <w:p w14:paraId="3C371765" w14:textId="77777777" w:rsidR="00BA40C8" w:rsidRPr="00D91B96" w:rsidRDefault="00BE0843" w:rsidP="00BA40C8">
      <w:pPr>
        <w:numPr>
          <w:ilvl w:val="0"/>
          <w:numId w:val="10"/>
        </w:numPr>
        <w:rPr>
          <w:rFonts w:ascii="Arial" w:hAnsi="Arial" w:cs="Arial"/>
          <w:color w:val="0000FF"/>
          <w:sz w:val="22"/>
          <w:szCs w:val="22"/>
          <w:u w:val="single"/>
        </w:rPr>
      </w:pPr>
      <w:hyperlink r:id="rId16" w:history="1">
        <w:r w:rsidR="00BA40C8" w:rsidRPr="00D91B96">
          <w:rPr>
            <w:rStyle w:val="Hyperlink"/>
            <w:rFonts w:ascii="Arial" w:hAnsi="Arial" w:cs="Arial"/>
            <w:sz w:val="22"/>
            <w:szCs w:val="22"/>
          </w:rPr>
          <w:t>Management of Research Projects in the Historic Environment: The MoRPHE Project Managers’ Guide HEAG024 v1.2</w:t>
        </w:r>
      </w:hyperlink>
    </w:p>
    <w:p w14:paraId="288943C0" w14:textId="77777777" w:rsidR="00BA40C8" w:rsidRPr="006A4205" w:rsidRDefault="00BA40C8" w:rsidP="00BA40C8">
      <w:pPr>
        <w:numPr>
          <w:ilvl w:val="1"/>
          <w:numId w:val="10"/>
        </w:numPr>
        <w:rPr>
          <w:rFonts w:ascii="Arial" w:hAnsi="Arial" w:cs="Arial"/>
          <w:sz w:val="22"/>
          <w:szCs w:val="22"/>
        </w:rPr>
      </w:pPr>
      <w:r w:rsidRPr="006A4205">
        <w:rPr>
          <w:rFonts w:ascii="Arial" w:hAnsi="Arial" w:cs="Arial"/>
          <w:sz w:val="22"/>
          <w:szCs w:val="22"/>
        </w:rPr>
        <w:t>Histo</w:t>
      </w:r>
      <w:r w:rsidRPr="00D91B96">
        <w:rPr>
          <w:rFonts w:ascii="Arial" w:hAnsi="Arial" w:cs="Arial"/>
          <w:sz w:val="22"/>
          <w:szCs w:val="22"/>
        </w:rPr>
        <w:t>ric England, 2008 MoRPHE (Management of Research Projects in the Historic Environment) Project Planning Note 3: Archaeological Excavation</w:t>
      </w:r>
    </w:p>
    <w:p w14:paraId="3F6D3640" w14:textId="77777777" w:rsidR="00BA40C8" w:rsidRPr="006A4205" w:rsidRDefault="00BE0843" w:rsidP="00BA40C8">
      <w:pPr>
        <w:numPr>
          <w:ilvl w:val="0"/>
          <w:numId w:val="10"/>
        </w:numPr>
        <w:rPr>
          <w:rFonts w:ascii="Arial" w:hAnsi="Arial" w:cs="Arial"/>
          <w:sz w:val="22"/>
          <w:szCs w:val="22"/>
        </w:rPr>
      </w:pPr>
      <w:hyperlink r:id="rId17" w:tgtFrame="_blank" w:history="1">
        <w:r w:rsidR="00BA40C8" w:rsidRPr="006A4205">
          <w:rPr>
            <w:rStyle w:val="Emphasis"/>
            <w:rFonts w:ascii="Arial" w:hAnsi="Arial" w:cs="Arial"/>
            <w:i w:val="0"/>
            <w:iCs w:val="0"/>
            <w:color w:val="0000FF"/>
            <w:sz w:val="22"/>
            <w:szCs w:val="22"/>
            <w:u w:val="single"/>
          </w:rPr>
          <w:t>Standard and guidance for the collection, documentation, conservation and research of archaeological materials</w:t>
        </w:r>
      </w:hyperlink>
      <w:r w:rsidR="00BA40C8" w:rsidRPr="006A4205">
        <w:rPr>
          <w:rStyle w:val="Emphasis"/>
          <w:rFonts w:ascii="Arial" w:hAnsi="Arial" w:cs="Arial"/>
          <w:i w:val="0"/>
          <w:iCs w:val="0"/>
          <w:sz w:val="22"/>
          <w:szCs w:val="22"/>
        </w:rPr>
        <w:t xml:space="preserve"> </w:t>
      </w:r>
      <w:r w:rsidR="00BA40C8" w:rsidRPr="006A4205">
        <w:rPr>
          <w:rFonts w:ascii="Arial" w:hAnsi="Arial" w:cs="Arial"/>
          <w:sz w:val="22"/>
          <w:szCs w:val="22"/>
        </w:rPr>
        <w:t>(PDF)</w:t>
      </w:r>
    </w:p>
    <w:p w14:paraId="2784F1E3" w14:textId="022A751D" w:rsidR="006B5C66" w:rsidRPr="00D91B96" w:rsidRDefault="00BE0843" w:rsidP="006B5C66">
      <w:pPr>
        <w:numPr>
          <w:ilvl w:val="0"/>
          <w:numId w:val="10"/>
        </w:numPr>
        <w:rPr>
          <w:rFonts w:ascii="Arial" w:hAnsi="Arial" w:cs="Arial"/>
          <w:sz w:val="22"/>
          <w:szCs w:val="22"/>
        </w:rPr>
      </w:pPr>
      <w:hyperlink r:id="rId18" w:history="1">
        <w:r w:rsidR="006B5C66" w:rsidRPr="00D91B96">
          <w:rPr>
            <w:rStyle w:val="Hyperlink"/>
            <w:rFonts w:ascii="Arial" w:hAnsi="Arial" w:cs="Arial"/>
            <w:sz w:val="22"/>
            <w:szCs w:val="22"/>
          </w:rPr>
          <w:t>ALGAO Advice Note For Post-Excavation Assessment</w:t>
        </w:r>
      </w:hyperlink>
      <w:r w:rsidR="006B5C66" w:rsidRPr="00D91B96">
        <w:rPr>
          <w:rFonts w:ascii="Arial" w:hAnsi="Arial" w:cs="Arial"/>
          <w:sz w:val="22"/>
          <w:szCs w:val="22"/>
        </w:rPr>
        <w:t xml:space="preserve"> (PDF)</w:t>
      </w:r>
    </w:p>
    <w:p w14:paraId="7D3ABF9D" w14:textId="41FD72A4" w:rsidR="000F0E1F" w:rsidRPr="00E34F66" w:rsidRDefault="00BE0843" w:rsidP="000F0E1F">
      <w:pPr>
        <w:pStyle w:val="ListParagraph"/>
        <w:numPr>
          <w:ilvl w:val="0"/>
          <w:numId w:val="14"/>
        </w:numPr>
        <w:rPr>
          <w:rFonts w:ascii="Arial" w:hAnsi="Arial" w:cs="Arial"/>
          <w:sz w:val="22"/>
          <w:szCs w:val="22"/>
        </w:rPr>
      </w:pPr>
      <w:hyperlink r:id="rId19" w:history="1">
        <w:r w:rsidR="000F0E1F" w:rsidRPr="000F0E1F">
          <w:rPr>
            <w:rStyle w:val="Hyperlink"/>
            <w:rFonts w:ascii="Arial" w:hAnsi="Arial" w:cs="Arial"/>
            <w:sz w:val="22"/>
            <w:szCs w:val="22"/>
          </w:rPr>
          <w:t>Toolkit for Finds Recording</w:t>
        </w:r>
      </w:hyperlink>
    </w:p>
    <w:p w14:paraId="57C27822" w14:textId="21D9F811" w:rsidR="006B5C66" w:rsidRPr="006A4205" w:rsidRDefault="00BE0843" w:rsidP="006B5C66">
      <w:pPr>
        <w:numPr>
          <w:ilvl w:val="0"/>
          <w:numId w:val="14"/>
        </w:numPr>
        <w:rPr>
          <w:rFonts w:ascii="Arial" w:hAnsi="Arial" w:cs="Arial"/>
          <w:sz w:val="22"/>
          <w:szCs w:val="22"/>
        </w:rPr>
      </w:pPr>
      <w:hyperlink r:id="rId20" w:history="1">
        <w:r w:rsidR="006B5C66" w:rsidRPr="006A4205">
          <w:rPr>
            <w:rStyle w:val="Emphasis"/>
            <w:rFonts w:ascii="Arial" w:hAnsi="Arial" w:cs="Arial"/>
            <w:i w:val="0"/>
            <w:iCs w:val="0"/>
            <w:color w:val="0000FF"/>
            <w:sz w:val="22"/>
            <w:szCs w:val="22"/>
            <w:u w:val="single"/>
          </w:rPr>
          <w:t>Toolkit for Specialist Reporting</w:t>
        </w:r>
      </w:hyperlink>
    </w:p>
    <w:p w14:paraId="495478F4" w14:textId="53708D2A" w:rsidR="000F0E1F" w:rsidRPr="00FD4729" w:rsidRDefault="00BE0843" w:rsidP="000F0E1F">
      <w:pPr>
        <w:pStyle w:val="ListParagraph"/>
        <w:numPr>
          <w:ilvl w:val="0"/>
          <w:numId w:val="14"/>
        </w:numPr>
        <w:rPr>
          <w:rStyle w:val="Emphasis"/>
          <w:rFonts w:ascii="Arial" w:hAnsi="Arial" w:cs="Arial"/>
          <w:bCs/>
          <w:i w:val="0"/>
          <w:iCs w:val="0"/>
          <w:sz w:val="22"/>
          <w:szCs w:val="22"/>
        </w:rPr>
      </w:pPr>
      <w:hyperlink r:id="rId21" w:history="1">
        <w:r w:rsidR="000F0E1F" w:rsidRPr="000F0E1F">
          <w:rPr>
            <w:rStyle w:val="Hyperlink"/>
            <w:rFonts w:ascii="Arial" w:hAnsi="Arial" w:cs="Arial"/>
            <w:sz w:val="22"/>
            <w:szCs w:val="22"/>
          </w:rPr>
          <w:t>Toolkit for Managing Digital Data</w:t>
        </w:r>
      </w:hyperlink>
      <w:r w:rsidR="000F0E1F">
        <w:rPr>
          <w:rFonts w:ascii="Arial" w:hAnsi="Arial" w:cs="Arial"/>
          <w:sz w:val="22"/>
          <w:szCs w:val="22"/>
        </w:rPr>
        <w:t xml:space="preserve"> (</w:t>
      </w:r>
      <w:r w:rsidR="000F0E1F" w:rsidRPr="00FD4729">
        <w:rPr>
          <w:rFonts w:ascii="Arial" w:hAnsi="Arial" w:cs="Arial"/>
          <w:i/>
          <w:iCs/>
          <w:sz w:val="22"/>
          <w:szCs w:val="22"/>
        </w:rPr>
        <w:t>Dig Digital</w:t>
      </w:r>
      <w:r w:rsidR="000F0E1F">
        <w:rPr>
          <w:rFonts w:ascii="Arial" w:hAnsi="Arial" w:cs="Arial"/>
          <w:sz w:val="22"/>
          <w:szCs w:val="22"/>
        </w:rPr>
        <w:t xml:space="preserve"> </w:t>
      </w:r>
      <w:r w:rsidR="000F0E1F" w:rsidRPr="00FD4729">
        <w:rPr>
          <w:rFonts w:ascii="Arial" w:hAnsi="Arial" w:cs="Arial"/>
          <w:sz w:val="22"/>
          <w:szCs w:val="22"/>
        </w:rPr>
        <w:t>online resource</w:t>
      </w:r>
      <w:r w:rsidR="000F0E1F">
        <w:rPr>
          <w:rStyle w:val="Hyperlink"/>
          <w:rFonts w:ascii="Arial" w:hAnsi="Arial" w:cs="Arial"/>
          <w:sz w:val="22"/>
          <w:szCs w:val="22"/>
        </w:rPr>
        <w:t>)</w:t>
      </w:r>
    </w:p>
    <w:p w14:paraId="161B9FCD" w14:textId="61CB08B5" w:rsidR="000F0E1F" w:rsidRPr="006A4205" w:rsidRDefault="00BE0843" w:rsidP="000F0E1F">
      <w:pPr>
        <w:numPr>
          <w:ilvl w:val="0"/>
          <w:numId w:val="14"/>
        </w:numPr>
        <w:rPr>
          <w:rFonts w:ascii="Arial" w:hAnsi="Arial" w:cs="Arial"/>
          <w:sz w:val="22"/>
          <w:szCs w:val="22"/>
        </w:rPr>
      </w:pPr>
      <w:hyperlink r:id="rId22" w:history="1">
        <w:r w:rsidR="000F0E1F" w:rsidRPr="006A4205">
          <w:rPr>
            <w:rStyle w:val="Emphasis"/>
            <w:rFonts w:ascii="Arial" w:hAnsi="Arial" w:cs="Arial"/>
            <w:i w:val="0"/>
            <w:iCs w:val="0"/>
            <w:color w:val="0000FF"/>
            <w:sz w:val="22"/>
            <w:szCs w:val="22"/>
            <w:u w:val="single"/>
          </w:rPr>
          <w:t>Toolkit for Selecting Archaeological Archives</w:t>
        </w:r>
      </w:hyperlink>
    </w:p>
    <w:p w14:paraId="062DA679" w14:textId="77777777" w:rsidR="006B5C66" w:rsidRPr="006A4205" w:rsidRDefault="00BE0843" w:rsidP="006B5C66">
      <w:pPr>
        <w:numPr>
          <w:ilvl w:val="0"/>
          <w:numId w:val="14"/>
        </w:numPr>
        <w:rPr>
          <w:rFonts w:ascii="Arial" w:hAnsi="Arial" w:cs="Arial"/>
          <w:sz w:val="22"/>
          <w:szCs w:val="22"/>
        </w:rPr>
      </w:pPr>
      <w:hyperlink r:id="rId23" w:tgtFrame="_blank" w:history="1">
        <w:r w:rsidR="006B5C66" w:rsidRPr="006A4205">
          <w:rPr>
            <w:rStyle w:val="Hyperlink"/>
            <w:rFonts w:ascii="Arial" w:hAnsi="Arial" w:cs="Arial"/>
            <w:sz w:val="22"/>
            <w:szCs w:val="22"/>
          </w:rPr>
          <w:t>Portable Antiquities Scheme recording guides</w:t>
        </w:r>
      </w:hyperlink>
    </w:p>
    <w:p w14:paraId="5F2EB121" w14:textId="77777777" w:rsidR="000F0E1F" w:rsidRPr="006A4205" w:rsidRDefault="000F0E1F" w:rsidP="006B5C66">
      <w:pPr>
        <w:rPr>
          <w:rFonts w:ascii="Arial" w:hAnsi="Arial" w:cs="Arial"/>
          <w:sz w:val="22"/>
          <w:szCs w:val="22"/>
        </w:rPr>
      </w:pPr>
    </w:p>
    <w:p w14:paraId="4E41EDE5" w14:textId="38820FF9" w:rsidR="00D91B96" w:rsidRPr="006A4205" w:rsidRDefault="00D91B96" w:rsidP="006B5C66">
      <w:pPr>
        <w:rPr>
          <w:rFonts w:ascii="Arial" w:hAnsi="Arial" w:cs="Arial"/>
          <w:color w:val="731472"/>
          <w:sz w:val="22"/>
          <w:szCs w:val="22"/>
        </w:rPr>
      </w:pPr>
      <w:r w:rsidRPr="003C521F">
        <w:rPr>
          <w:rFonts w:ascii="Arial" w:hAnsi="Arial" w:cs="Arial"/>
          <w:color w:val="731472"/>
          <w:sz w:val="22"/>
          <w:szCs w:val="22"/>
        </w:rPr>
        <w:t>Other</w:t>
      </w:r>
      <w:r w:rsidRPr="003D3782">
        <w:rPr>
          <w:rFonts w:ascii="Arial" w:hAnsi="Arial" w:cs="Arial"/>
          <w:color w:val="731472"/>
          <w:sz w:val="22"/>
          <w:szCs w:val="22"/>
        </w:rPr>
        <w:t xml:space="preserve"> </w:t>
      </w:r>
      <w:r w:rsidRPr="006A4205">
        <w:rPr>
          <w:rFonts w:ascii="Arial" w:hAnsi="Arial" w:cs="Arial"/>
          <w:color w:val="731472"/>
          <w:sz w:val="22"/>
          <w:szCs w:val="22"/>
        </w:rPr>
        <w:t xml:space="preserve">specialist </w:t>
      </w:r>
      <w:r w:rsidR="006B5C66" w:rsidRPr="006A4205">
        <w:rPr>
          <w:rFonts w:ascii="Arial" w:hAnsi="Arial" w:cs="Arial"/>
          <w:color w:val="731472"/>
          <w:sz w:val="22"/>
          <w:szCs w:val="22"/>
        </w:rPr>
        <w:t xml:space="preserve">finds </w:t>
      </w:r>
      <w:r w:rsidRPr="006A4205">
        <w:rPr>
          <w:rFonts w:ascii="Arial" w:hAnsi="Arial" w:cs="Arial"/>
          <w:color w:val="731472"/>
          <w:sz w:val="22"/>
          <w:szCs w:val="22"/>
        </w:rPr>
        <w:t>standards</w:t>
      </w:r>
    </w:p>
    <w:p w14:paraId="52504A2C" w14:textId="3674FB3E" w:rsidR="00D91B96" w:rsidRPr="006A4205" w:rsidRDefault="00BE0843" w:rsidP="006B5C66">
      <w:pPr>
        <w:numPr>
          <w:ilvl w:val="0"/>
          <w:numId w:val="12"/>
        </w:numPr>
        <w:rPr>
          <w:rFonts w:ascii="Arial" w:hAnsi="Arial" w:cs="Arial"/>
          <w:sz w:val="22"/>
          <w:szCs w:val="22"/>
        </w:rPr>
      </w:pPr>
      <w:hyperlink r:id="rId24" w:history="1">
        <w:r w:rsidR="00D91B96" w:rsidRPr="00D91B96">
          <w:rPr>
            <w:rStyle w:val="Hyperlink"/>
            <w:rFonts w:ascii="Arial" w:hAnsi="Arial" w:cs="Arial"/>
            <w:sz w:val="22"/>
            <w:szCs w:val="22"/>
          </w:rPr>
          <w:t>Barclay, A, Knight, D, Booth, P, Evans, J, Brown, DH and Wood, I, 2016 A Standard for Pottery Studies in Archaeology Prehistoric Ceramics Research Group, Study Group for Roman Pottery and Medieval Pottery Research Group</w:t>
        </w:r>
      </w:hyperlink>
    </w:p>
    <w:p w14:paraId="20856096" w14:textId="168706D4" w:rsidR="006B5C66" w:rsidRPr="00D91B96" w:rsidRDefault="006B5C66" w:rsidP="006B5C66">
      <w:pPr>
        <w:numPr>
          <w:ilvl w:val="0"/>
          <w:numId w:val="12"/>
        </w:numPr>
        <w:rPr>
          <w:rFonts w:ascii="Arial" w:hAnsi="Arial" w:cs="Arial"/>
          <w:sz w:val="22"/>
          <w:szCs w:val="22"/>
        </w:rPr>
      </w:pPr>
      <w:r w:rsidRPr="006A4205">
        <w:rPr>
          <w:rStyle w:val="Emphasis"/>
          <w:rFonts w:ascii="Arial" w:hAnsi="Arial" w:cs="Arial"/>
          <w:i w:val="0"/>
          <w:iCs w:val="0"/>
          <w:sz w:val="22"/>
          <w:szCs w:val="22"/>
        </w:rPr>
        <w:t>First Aid for Finds</w:t>
      </w:r>
      <w:r w:rsidRPr="006A4205">
        <w:rPr>
          <w:rFonts w:ascii="Arial" w:hAnsi="Arial" w:cs="Arial"/>
          <w:sz w:val="22"/>
          <w:szCs w:val="22"/>
        </w:rPr>
        <w:t xml:space="preserve">: </w:t>
      </w:r>
      <w:r w:rsidRPr="006A4205">
        <w:rPr>
          <w:rStyle w:val="Emphasis"/>
          <w:rFonts w:ascii="Arial" w:hAnsi="Arial" w:cs="Arial"/>
          <w:i w:val="0"/>
          <w:iCs w:val="0"/>
          <w:sz w:val="22"/>
          <w:szCs w:val="22"/>
        </w:rPr>
        <w:t xml:space="preserve">Practical Guide for Archaeologists </w:t>
      </w:r>
      <w:r w:rsidRPr="006A4205">
        <w:rPr>
          <w:rFonts w:ascii="Arial" w:hAnsi="Arial" w:cs="Arial"/>
          <w:sz w:val="22"/>
          <w:szCs w:val="22"/>
        </w:rPr>
        <w:t>(1998; third edition). Hertford: Rescue, The British Archaeological Trust.</w:t>
      </w:r>
    </w:p>
    <w:p w14:paraId="7FDB7F84" w14:textId="77777777" w:rsidR="006B5C66" w:rsidRPr="006A4205" w:rsidRDefault="006B5C66" w:rsidP="006B5C66">
      <w:pPr>
        <w:rPr>
          <w:rFonts w:ascii="Arial" w:hAnsi="Arial" w:cs="Arial"/>
          <w:sz w:val="22"/>
          <w:szCs w:val="22"/>
        </w:rPr>
      </w:pPr>
    </w:p>
    <w:p w14:paraId="27EE8076" w14:textId="70AB8A09" w:rsidR="00D91B96" w:rsidRPr="006A4205" w:rsidRDefault="00D91B96" w:rsidP="006B5C66">
      <w:pPr>
        <w:rPr>
          <w:rFonts w:ascii="Arial" w:hAnsi="Arial" w:cs="Arial"/>
          <w:color w:val="731472"/>
          <w:sz w:val="22"/>
          <w:szCs w:val="22"/>
        </w:rPr>
      </w:pPr>
      <w:r w:rsidRPr="006A4205">
        <w:rPr>
          <w:rFonts w:ascii="Arial" w:hAnsi="Arial" w:cs="Arial"/>
          <w:color w:val="731472"/>
          <w:sz w:val="22"/>
          <w:szCs w:val="22"/>
        </w:rPr>
        <w:t>Archives</w:t>
      </w:r>
    </w:p>
    <w:p w14:paraId="03C2ED70" w14:textId="005988D1" w:rsidR="00D91B96" w:rsidRPr="00D91B96" w:rsidRDefault="00BE0843" w:rsidP="006B5C66">
      <w:pPr>
        <w:numPr>
          <w:ilvl w:val="0"/>
          <w:numId w:val="13"/>
        </w:numPr>
        <w:rPr>
          <w:rFonts w:ascii="Arial" w:hAnsi="Arial" w:cs="Arial"/>
          <w:sz w:val="22"/>
          <w:szCs w:val="22"/>
        </w:rPr>
      </w:pPr>
      <w:hyperlink r:id="rId25" w:history="1">
        <w:r w:rsidR="00D91B96" w:rsidRPr="00D91B96">
          <w:rPr>
            <w:rStyle w:val="Hyperlink"/>
            <w:rFonts w:ascii="Arial" w:hAnsi="Arial" w:cs="Arial"/>
            <w:sz w:val="22"/>
            <w:szCs w:val="22"/>
          </w:rPr>
          <w:t>CIfA Standard and guidance for the creation, compilation, transfer and deposition of archaeological archives</w:t>
        </w:r>
      </w:hyperlink>
      <w:r w:rsidR="00D91B96" w:rsidRPr="00D91B96">
        <w:rPr>
          <w:rFonts w:ascii="Arial" w:hAnsi="Arial" w:cs="Arial"/>
          <w:sz w:val="22"/>
          <w:szCs w:val="22"/>
        </w:rPr>
        <w:t xml:space="preserve"> (PDF)</w:t>
      </w:r>
    </w:p>
    <w:p w14:paraId="681B8880" w14:textId="344F7AB5" w:rsidR="00D91B96" w:rsidRPr="00D91B96" w:rsidRDefault="00BE0843" w:rsidP="006B5C66">
      <w:pPr>
        <w:numPr>
          <w:ilvl w:val="0"/>
          <w:numId w:val="13"/>
        </w:numPr>
        <w:rPr>
          <w:rFonts w:ascii="Arial" w:hAnsi="Arial" w:cs="Arial"/>
          <w:sz w:val="22"/>
          <w:szCs w:val="22"/>
        </w:rPr>
      </w:pPr>
      <w:hyperlink r:id="rId26" w:history="1">
        <w:r w:rsidR="006A4205" w:rsidRPr="006A4205">
          <w:rPr>
            <w:rFonts w:ascii="Arial" w:hAnsi="Arial" w:cs="Arial"/>
            <w:color w:val="0000FF"/>
            <w:sz w:val="22"/>
            <w:szCs w:val="22"/>
            <w:u w:val="single"/>
          </w:rPr>
          <w:t>CIfA T</w:t>
        </w:r>
        <w:r w:rsidR="00D91B96" w:rsidRPr="00D91B96">
          <w:rPr>
            <w:rFonts w:ascii="Arial" w:hAnsi="Arial" w:cs="Arial"/>
            <w:color w:val="0000FF"/>
            <w:sz w:val="22"/>
            <w:szCs w:val="22"/>
            <w:u w:val="single"/>
          </w:rPr>
          <w:t>oolkit for Selecting Archaeological Archives</w:t>
        </w:r>
      </w:hyperlink>
    </w:p>
    <w:p w14:paraId="2C51F382" w14:textId="77777777" w:rsidR="006B5C66" w:rsidRPr="006A4205" w:rsidRDefault="006B5C66" w:rsidP="006B5C66">
      <w:pPr>
        <w:rPr>
          <w:rFonts w:ascii="Arial" w:hAnsi="Arial" w:cs="Arial"/>
          <w:sz w:val="22"/>
          <w:szCs w:val="22"/>
        </w:rPr>
      </w:pPr>
    </w:p>
    <w:p w14:paraId="27D7F2FB" w14:textId="5F0A61AC" w:rsidR="00D91B96" w:rsidRPr="006A4205" w:rsidRDefault="00D91B96" w:rsidP="006B5C66">
      <w:pPr>
        <w:rPr>
          <w:rFonts w:ascii="Arial" w:hAnsi="Arial" w:cs="Arial"/>
          <w:color w:val="731472"/>
          <w:sz w:val="22"/>
          <w:szCs w:val="22"/>
        </w:rPr>
      </w:pPr>
      <w:r w:rsidRPr="006A4205">
        <w:rPr>
          <w:rFonts w:ascii="Arial" w:hAnsi="Arial" w:cs="Arial"/>
          <w:color w:val="731472"/>
          <w:sz w:val="22"/>
          <w:szCs w:val="22"/>
        </w:rPr>
        <w:t>Thesauri, word lists and reference catalogues</w:t>
      </w:r>
    </w:p>
    <w:p w14:paraId="22914DD8" w14:textId="7AB8B979" w:rsidR="00D91B96" w:rsidRPr="006A4205" w:rsidRDefault="00BE0843" w:rsidP="006B5C66">
      <w:pPr>
        <w:numPr>
          <w:ilvl w:val="0"/>
          <w:numId w:val="15"/>
        </w:numPr>
        <w:rPr>
          <w:rFonts w:ascii="Arial" w:hAnsi="Arial" w:cs="Arial"/>
          <w:sz w:val="22"/>
          <w:szCs w:val="22"/>
        </w:rPr>
      </w:pPr>
      <w:hyperlink r:id="rId27" w:tgtFrame="_blank" w:history="1">
        <w:r w:rsidR="00D91B96" w:rsidRPr="006A4205">
          <w:rPr>
            <w:rStyle w:val="Hyperlink"/>
            <w:rFonts w:ascii="Arial" w:hAnsi="Arial" w:cs="Arial"/>
            <w:sz w:val="22"/>
            <w:szCs w:val="22"/>
          </w:rPr>
          <w:t>Archaeological Objects Thesaurus, Forum on Information Standards in Heritage</w:t>
        </w:r>
      </w:hyperlink>
      <w:r>
        <w:rPr>
          <w:rStyle w:val="Hyperlink"/>
          <w:rFonts w:ascii="Arial" w:hAnsi="Arial" w:cs="Arial"/>
          <w:sz w:val="22"/>
          <w:szCs w:val="22"/>
        </w:rPr>
        <w:t xml:space="preserve"> (FISH)</w:t>
      </w:r>
    </w:p>
    <w:p w14:paraId="3B6415F6" w14:textId="77777777" w:rsidR="00D91B96" w:rsidRPr="006A4205" w:rsidRDefault="00BE0843" w:rsidP="006B5C66">
      <w:pPr>
        <w:numPr>
          <w:ilvl w:val="0"/>
          <w:numId w:val="15"/>
        </w:numPr>
        <w:rPr>
          <w:rFonts w:ascii="Arial" w:hAnsi="Arial" w:cs="Arial"/>
          <w:sz w:val="22"/>
          <w:szCs w:val="22"/>
        </w:rPr>
      </w:pPr>
      <w:hyperlink r:id="rId28" w:tgtFrame="_blank" w:history="1">
        <w:r w:rsidR="00D91B96" w:rsidRPr="006A4205">
          <w:rPr>
            <w:rStyle w:val="Hyperlink"/>
            <w:rFonts w:ascii="Arial" w:hAnsi="Arial" w:cs="Arial"/>
            <w:sz w:val="22"/>
            <w:szCs w:val="22"/>
          </w:rPr>
          <w:t>British Museum Materials Thesaurus</w:t>
        </w:r>
      </w:hyperlink>
    </w:p>
    <w:p w14:paraId="09AB4494" w14:textId="77777777" w:rsidR="00D91B96" w:rsidRPr="006A4205" w:rsidRDefault="00BE0843" w:rsidP="006B5C66">
      <w:pPr>
        <w:numPr>
          <w:ilvl w:val="0"/>
          <w:numId w:val="15"/>
        </w:numPr>
        <w:rPr>
          <w:rFonts w:ascii="Arial" w:hAnsi="Arial" w:cs="Arial"/>
          <w:sz w:val="22"/>
          <w:szCs w:val="22"/>
        </w:rPr>
      </w:pPr>
      <w:hyperlink r:id="rId29" w:tgtFrame="_blank" w:history="1">
        <w:r w:rsidR="00D91B96" w:rsidRPr="006A4205">
          <w:rPr>
            <w:rStyle w:val="Hyperlink"/>
            <w:rFonts w:ascii="Arial" w:hAnsi="Arial" w:cs="Arial"/>
            <w:sz w:val="22"/>
            <w:szCs w:val="22"/>
          </w:rPr>
          <w:t>British Museum Object Names Thesaurus</w:t>
        </w:r>
      </w:hyperlink>
    </w:p>
    <w:p w14:paraId="7D167E1F" w14:textId="77777777" w:rsidR="00713011" w:rsidRPr="00174F03" w:rsidRDefault="00713011" w:rsidP="00713011">
      <w:pPr>
        <w:pBdr>
          <w:bottom w:val="single" w:sz="6" w:space="1" w:color="auto"/>
        </w:pBdr>
        <w:rPr>
          <w:rFonts w:ascii="Arial" w:hAnsi="Arial" w:cs="Arial"/>
          <w:bCs/>
          <w:sz w:val="22"/>
          <w:szCs w:val="22"/>
        </w:rPr>
      </w:pPr>
    </w:p>
    <w:p w14:paraId="6A8B4D04" w14:textId="77777777" w:rsidR="00713011" w:rsidRPr="006A4205" w:rsidRDefault="00713011" w:rsidP="00713011">
      <w:pPr>
        <w:jc w:val="both"/>
        <w:rPr>
          <w:rFonts w:ascii="Arial" w:hAnsi="Arial" w:cs="Arial"/>
          <w:color w:val="000000"/>
          <w:sz w:val="22"/>
          <w:szCs w:val="22"/>
        </w:rPr>
      </w:pPr>
    </w:p>
    <w:sectPr w:rsidR="00713011" w:rsidRPr="006A4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ᘜ"/>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11A"/>
    <w:multiLevelType w:val="hybridMultilevel"/>
    <w:tmpl w:val="2272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70E51"/>
    <w:multiLevelType w:val="multilevel"/>
    <w:tmpl w:val="FC0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87266"/>
    <w:multiLevelType w:val="hybridMultilevel"/>
    <w:tmpl w:val="F4B0AAAC"/>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 w15:restartNumberingAfterBreak="0">
    <w:nsid w:val="25697013"/>
    <w:multiLevelType w:val="hybridMultilevel"/>
    <w:tmpl w:val="A5B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84C74"/>
    <w:multiLevelType w:val="hybridMultilevel"/>
    <w:tmpl w:val="259AD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F3A63"/>
    <w:multiLevelType w:val="multilevel"/>
    <w:tmpl w:val="686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3497A"/>
    <w:multiLevelType w:val="multilevel"/>
    <w:tmpl w:val="42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4645F"/>
    <w:multiLevelType w:val="multilevel"/>
    <w:tmpl w:val="D68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044D1"/>
    <w:multiLevelType w:val="multilevel"/>
    <w:tmpl w:val="9810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23B90"/>
    <w:multiLevelType w:val="multilevel"/>
    <w:tmpl w:val="72E42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2720B"/>
    <w:multiLevelType w:val="hybridMultilevel"/>
    <w:tmpl w:val="CE4E3C76"/>
    <w:lvl w:ilvl="0" w:tplc="F1A62B62">
      <w:start w:val="1"/>
      <w:numFmt w:val="decimal"/>
      <w:lvlText w:val="%1."/>
      <w:lvlJc w:val="left"/>
      <w:pPr>
        <w:tabs>
          <w:tab w:val="num" w:pos="720"/>
        </w:tabs>
        <w:ind w:left="720" w:hanging="360"/>
      </w:pPr>
    </w:lvl>
    <w:lvl w:ilvl="1" w:tplc="DDFA3B74" w:tentative="1">
      <w:start w:val="1"/>
      <w:numFmt w:val="decimal"/>
      <w:lvlText w:val="%2."/>
      <w:lvlJc w:val="left"/>
      <w:pPr>
        <w:tabs>
          <w:tab w:val="num" w:pos="1440"/>
        </w:tabs>
        <w:ind w:left="1440" w:hanging="360"/>
      </w:pPr>
    </w:lvl>
    <w:lvl w:ilvl="2" w:tplc="48766624">
      <w:start w:val="1"/>
      <w:numFmt w:val="decimal"/>
      <w:lvlText w:val="%3."/>
      <w:lvlJc w:val="left"/>
      <w:pPr>
        <w:tabs>
          <w:tab w:val="num" w:pos="2160"/>
        </w:tabs>
        <w:ind w:left="2160" w:hanging="360"/>
      </w:pPr>
    </w:lvl>
    <w:lvl w:ilvl="3" w:tplc="CF6034EC" w:tentative="1">
      <w:start w:val="1"/>
      <w:numFmt w:val="decimal"/>
      <w:lvlText w:val="%4."/>
      <w:lvlJc w:val="left"/>
      <w:pPr>
        <w:tabs>
          <w:tab w:val="num" w:pos="2880"/>
        </w:tabs>
        <w:ind w:left="2880" w:hanging="360"/>
      </w:pPr>
    </w:lvl>
    <w:lvl w:ilvl="4" w:tplc="CD0E2A0E" w:tentative="1">
      <w:start w:val="1"/>
      <w:numFmt w:val="decimal"/>
      <w:lvlText w:val="%5."/>
      <w:lvlJc w:val="left"/>
      <w:pPr>
        <w:tabs>
          <w:tab w:val="num" w:pos="3600"/>
        </w:tabs>
        <w:ind w:left="3600" w:hanging="360"/>
      </w:pPr>
    </w:lvl>
    <w:lvl w:ilvl="5" w:tplc="A4B2D716" w:tentative="1">
      <w:start w:val="1"/>
      <w:numFmt w:val="decimal"/>
      <w:lvlText w:val="%6."/>
      <w:lvlJc w:val="left"/>
      <w:pPr>
        <w:tabs>
          <w:tab w:val="num" w:pos="4320"/>
        </w:tabs>
        <w:ind w:left="4320" w:hanging="360"/>
      </w:pPr>
    </w:lvl>
    <w:lvl w:ilvl="6" w:tplc="0766478A" w:tentative="1">
      <w:start w:val="1"/>
      <w:numFmt w:val="decimal"/>
      <w:lvlText w:val="%7."/>
      <w:lvlJc w:val="left"/>
      <w:pPr>
        <w:tabs>
          <w:tab w:val="num" w:pos="5040"/>
        </w:tabs>
        <w:ind w:left="5040" w:hanging="360"/>
      </w:pPr>
    </w:lvl>
    <w:lvl w:ilvl="7" w:tplc="04B28096" w:tentative="1">
      <w:start w:val="1"/>
      <w:numFmt w:val="decimal"/>
      <w:lvlText w:val="%8."/>
      <w:lvlJc w:val="left"/>
      <w:pPr>
        <w:tabs>
          <w:tab w:val="num" w:pos="5760"/>
        </w:tabs>
        <w:ind w:left="5760" w:hanging="360"/>
      </w:pPr>
    </w:lvl>
    <w:lvl w:ilvl="8" w:tplc="6140583E" w:tentative="1">
      <w:start w:val="1"/>
      <w:numFmt w:val="decimal"/>
      <w:lvlText w:val="%9."/>
      <w:lvlJc w:val="left"/>
      <w:pPr>
        <w:tabs>
          <w:tab w:val="num" w:pos="6480"/>
        </w:tabs>
        <w:ind w:left="6480" w:hanging="360"/>
      </w:pPr>
    </w:lvl>
  </w:abstractNum>
  <w:abstractNum w:abstractNumId="11" w15:restartNumberingAfterBreak="0">
    <w:nsid w:val="637C5C2E"/>
    <w:multiLevelType w:val="hybridMultilevel"/>
    <w:tmpl w:val="3CA8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A3660"/>
    <w:multiLevelType w:val="hybridMultilevel"/>
    <w:tmpl w:val="869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B6D39"/>
    <w:multiLevelType w:val="multilevel"/>
    <w:tmpl w:val="ECCA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233DD"/>
    <w:multiLevelType w:val="hybridMultilevel"/>
    <w:tmpl w:val="B81C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55FA0"/>
    <w:multiLevelType w:val="multilevel"/>
    <w:tmpl w:val="8E92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480B60"/>
    <w:multiLevelType w:val="hybridMultilevel"/>
    <w:tmpl w:val="4CA4A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843491">
    <w:abstractNumId w:val="3"/>
  </w:num>
  <w:num w:numId="2" w16cid:durableId="1847943601">
    <w:abstractNumId w:val="11"/>
  </w:num>
  <w:num w:numId="3" w16cid:durableId="1398477384">
    <w:abstractNumId w:val="0"/>
  </w:num>
  <w:num w:numId="4" w16cid:durableId="180633090">
    <w:abstractNumId w:val="16"/>
  </w:num>
  <w:num w:numId="5" w16cid:durableId="720519932">
    <w:abstractNumId w:val="12"/>
  </w:num>
  <w:num w:numId="6" w16cid:durableId="1067728182">
    <w:abstractNumId w:val="2"/>
  </w:num>
  <w:num w:numId="7" w16cid:durableId="734817112">
    <w:abstractNumId w:val="10"/>
  </w:num>
  <w:num w:numId="8" w16cid:durableId="702243073">
    <w:abstractNumId w:val="14"/>
  </w:num>
  <w:num w:numId="9" w16cid:durableId="1480416908">
    <w:abstractNumId w:val="4"/>
  </w:num>
  <w:num w:numId="10" w16cid:durableId="832137855">
    <w:abstractNumId w:val="9"/>
  </w:num>
  <w:num w:numId="11" w16cid:durableId="1796093034">
    <w:abstractNumId w:val="6"/>
  </w:num>
  <w:num w:numId="12" w16cid:durableId="1808275065">
    <w:abstractNumId w:val="8"/>
  </w:num>
  <w:num w:numId="13" w16cid:durableId="829634535">
    <w:abstractNumId w:val="7"/>
  </w:num>
  <w:num w:numId="14" w16cid:durableId="129372958">
    <w:abstractNumId w:val="5"/>
  </w:num>
  <w:num w:numId="15" w16cid:durableId="1079328926">
    <w:abstractNumId w:val="1"/>
  </w:num>
  <w:num w:numId="16" w16cid:durableId="703403677">
    <w:abstractNumId w:val="15"/>
  </w:num>
  <w:num w:numId="17" w16cid:durableId="18009524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A2"/>
    <w:rsid w:val="000218BE"/>
    <w:rsid w:val="0002445B"/>
    <w:rsid w:val="00033592"/>
    <w:rsid w:val="00052DB0"/>
    <w:rsid w:val="00075095"/>
    <w:rsid w:val="000B33F8"/>
    <w:rsid w:val="000D10C3"/>
    <w:rsid w:val="000E2CE7"/>
    <w:rsid w:val="000F0E1F"/>
    <w:rsid w:val="001141D0"/>
    <w:rsid w:val="001577E4"/>
    <w:rsid w:val="00160FE0"/>
    <w:rsid w:val="00161A35"/>
    <w:rsid w:val="001B446E"/>
    <w:rsid w:val="001B68F6"/>
    <w:rsid w:val="001D10D1"/>
    <w:rsid w:val="001D637F"/>
    <w:rsid w:val="001F2D38"/>
    <w:rsid w:val="001F4626"/>
    <w:rsid w:val="00226692"/>
    <w:rsid w:val="00253D36"/>
    <w:rsid w:val="00264C3E"/>
    <w:rsid w:val="00286FD0"/>
    <w:rsid w:val="002A16EC"/>
    <w:rsid w:val="002B6D16"/>
    <w:rsid w:val="002D78F9"/>
    <w:rsid w:val="00305B64"/>
    <w:rsid w:val="0032048A"/>
    <w:rsid w:val="00341B1D"/>
    <w:rsid w:val="00345363"/>
    <w:rsid w:val="00364103"/>
    <w:rsid w:val="00367045"/>
    <w:rsid w:val="0039657A"/>
    <w:rsid w:val="003A11FB"/>
    <w:rsid w:val="003C521F"/>
    <w:rsid w:val="003D3782"/>
    <w:rsid w:val="00411F74"/>
    <w:rsid w:val="00413C2C"/>
    <w:rsid w:val="00435B07"/>
    <w:rsid w:val="00436058"/>
    <w:rsid w:val="004B599D"/>
    <w:rsid w:val="004C7326"/>
    <w:rsid w:val="004F7033"/>
    <w:rsid w:val="00504FD5"/>
    <w:rsid w:val="00524A7D"/>
    <w:rsid w:val="005430AC"/>
    <w:rsid w:val="005547DE"/>
    <w:rsid w:val="005765D7"/>
    <w:rsid w:val="00587AF1"/>
    <w:rsid w:val="00587D6C"/>
    <w:rsid w:val="00587EA2"/>
    <w:rsid w:val="005C6A1E"/>
    <w:rsid w:val="005D47D2"/>
    <w:rsid w:val="005F1C86"/>
    <w:rsid w:val="00602907"/>
    <w:rsid w:val="0061025C"/>
    <w:rsid w:val="00611E77"/>
    <w:rsid w:val="0062320C"/>
    <w:rsid w:val="00630527"/>
    <w:rsid w:val="006608C7"/>
    <w:rsid w:val="00677373"/>
    <w:rsid w:val="006A4205"/>
    <w:rsid w:val="006B3043"/>
    <w:rsid w:val="006B5684"/>
    <w:rsid w:val="006B577C"/>
    <w:rsid w:val="006B5C66"/>
    <w:rsid w:val="006E019A"/>
    <w:rsid w:val="00707012"/>
    <w:rsid w:val="00712EF2"/>
    <w:rsid w:val="00713011"/>
    <w:rsid w:val="007155A1"/>
    <w:rsid w:val="007310DF"/>
    <w:rsid w:val="00731E3D"/>
    <w:rsid w:val="00736156"/>
    <w:rsid w:val="007675FA"/>
    <w:rsid w:val="00783CBF"/>
    <w:rsid w:val="007C25F9"/>
    <w:rsid w:val="007E14FC"/>
    <w:rsid w:val="007E1CA8"/>
    <w:rsid w:val="00801352"/>
    <w:rsid w:val="00850E46"/>
    <w:rsid w:val="008A6511"/>
    <w:rsid w:val="008A6CE2"/>
    <w:rsid w:val="00905DDD"/>
    <w:rsid w:val="00966481"/>
    <w:rsid w:val="00985AC1"/>
    <w:rsid w:val="009932D1"/>
    <w:rsid w:val="00A17AC7"/>
    <w:rsid w:val="00A24BF5"/>
    <w:rsid w:val="00A35C4A"/>
    <w:rsid w:val="00A51F24"/>
    <w:rsid w:val="00A65539"/>
    <w:rsid w:val="00A8622B"/>
    <w:rsid w:val="00AA0803"/>
    <w:rsid w:val="00AC5450"/>
    <w:rsid w:val="00AF5A41"/>
    <w:rsid w:val="00B250EA"/>
    <w:rsid w:val="00B335AC"/>
    <w:rsid w:val="00B52E67"/>
    <w:rsid w:val="00BA40C8"/>
    <w:rsid w:val="00BB0853"/>
    <w:rsid w:val="00BC7D26"/>
    <w:rsid w:val="00BE0843"/>
    <w:rsid w:val="00BF3608"/>
    <w:rsid w:val="00C07C2D"/>
    <w:rsid w:val="00C10F32"/>
    <w:rsid w:val="00C3663D"/>
    <w:rsid w:val="00C467DC"/>
    <w:rsid w:val="00C51D44"/>
    <w:rsid w:val="00C92EC3"/>
    <w:rsid w:val="00CA24A0"/>
    <w:rsid w:val="00CB7164"/>
    <w:rsid w:val="00CD2D45"/>
    <w:rsid w:val="00CF47D7"/>
    <w:rsid w:val="00D361DC"/>
    <w:rsid w:val="00D72DCC"/>
    <w:rsid w:val="00D90B00"/>
    <w:rsid w:val="00D91B96"/>
    <w:rsid w:val="00DB46E7"/>
    <w:rsid w:val="00DD1FA9"/>
    <w:rsid w:val="00E34F66"/>
    <w:rsid w:val="00E5162B"/>
    <w:rsid w:val="00E6330E"/>
    <w:rsid w:val="00E71166"/>
    <w:rsid w:val="00EA4718"/>
    <w:rsid w:val="00EB0567"/>
    <w:rsid w:val="00EF4E79"/>
    <w:rsid w:val="00EF73CA"/>
    <w:rsid w:val="00F426D4"/>
    <w:rsid w:val="00F85700"/>
    <w:rsid w:val="00FB7C73"/>
    <w:rsid w:val="00FC1DB0"/>
    <w:rsid w:val="00FD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F535"/>
  <w15:chartTrackingRefBased/>
  <w15:docId w15:val="{B1672A71-2345-4E13-97C9-4BBD7DE9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A2"/>
    <w:pPr>
      <w:spacing w:after="0" w:line="240" w:lineRule="auto"/>
    </w:pPr>
    <w:rPr>
      <w:rFonts w:ascii="Times" w:eastAsia="Times New Roman" w:hAnsi="Times" w:cs="Times"/>
      <w:sz w:val="24"/>
      <w:szCs w:val="20"/>
      <w:lang w:eastAsia="en-GB"/>
    </w:rPr>
  </w:style>
  <w:style w:type="paragraph" w:styleId="Heading2">
    <w:name w:val="heading 2"/>
    <w:basedOn w:val="Normal"/>
    <w:link w:val="Heading2Char"/>
    <w:uiPriority w:val="9"/>
    <w:qFormat/>
    <w:rsid w:val="00D91B9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EA2"/>
    <w:rPr>
      <w:color w:val="0000FF"/>
      <w:u w:val="single"/>
    </w:rPr>
  </w:style>
  <w:style w:type="paragraph" w:styleId="ListParagraph">
    <w:name w:val="List Paragraph"/>
    <w:basedOn w:val="Normal"/>
    <w:uiPriority w:val="34"/>
    <w:qFormat/>
    <w:rsid w:val="00587EA2"/>
    <w:pPr>
      <w:ind w:left="720"/>
      <w:contextualSpacing/>
    </w:pPr>
  </w:style>
  <w:style w:type="character" w:styleId="Strong">
    <w:name w:val="Strong"/>
    <w:basedOn w:val="DefaultParagraphFont"/>
    <w:uiPriority w:val="22"/>
    <w:qFormat/>
    <w:rsid w:val="00524A7D"/>
    <w:rPr>
      <w:b/>
      <w:bCs/>
    </w:rPr>
  </w:style>
  <w:style w:type="character" w:styleId="Emphasis">
    <w:name w:val="Emphasis"/>
    <w:basedOn w:val="DefaultParagraphFont"/>
    <w:uiPriority w:val="20"/>
    <w:qFormat/>
    <w:rsid w:val="006608C7"/>
    <w:rPr>
      <w:i/>
      <w:iCs/>
    </w:rPr>
  </w:style>
  <w:style w:type="character" w:styleId="UnresolvedMention">
    <w:name w:val="Unresolved Mention"/>
    <w:basedOn w:val="DefaultParagraphFont"/>
    <w:uiPriority w:val="99"/>
    <w:semiHidden/>
    <w:unhideWhenUsed/>
    <w:rsid w:val="00DB46E7"/>
    <w:rPr>
      <w:color w:val="605E5C"/>
      <w:shd w:val="clear" w:color="auto" w:fill="E1DFDD"/>
    </w:rPr>
  </w:style>
  <w:style w:type="paragraph" w:styleId="NormalWeb">
    <w:name w:val="Normal (Web)"/>
    <w:basedOn w:val="Normal"/>
    <w:uiPriority w:val="99"/>
    <w:semiHidden/>
    <w:unhideWhenUsed/>
    <w:rsid w:val="005C6A1E"/>
    <w:pPr>
      <w:spacing w:before="100" w:beforeAutospacing="1" w:after="100" w:afterAutospacing="1"/>
    </w:pPr>
    <w:rPr>
      <w:rFonts w:ascii="Times New Roman" w:hAnsi="Times New Roman" w:cs="Times New Roman"/>
      <w:szCs w:val="24"/>
    </w:rPr>
  </w:style>
  <w:style w:type="character" w:customStyle="1" w:styleId="nlmarticle-title">
    <w:name w:val="nlm_article-title"/>
    <w:basedOn w:val="DefaultParagraphFont"/>
    <w:rsid w:val="00F426D4"/>
  </w:style>
  <w:style w:type="character" w:customStyle="1" w:styleId="Heading2Char">
    <w:name w:val="Heading 2 Char"/>
    <w:basedOn w:val="DefaultParagraphFont"/>
    <w:link w:val="Heading2"/>
    <w:uiPriority w:val="9"/>
    <w:rsid w:val="00D91B96"/>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D91B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9472">
      <w:bodyDiv w:val="1"/>
      <w:marLeft w:val="0"/>
      <w:marRight w:val="0"/>
      <w:marTop w:val="0"/>
      <w:marBottom w:val="0"/>
      <w:divBdr>
        <w:top w:val="none" w:sz="0" w:space="0" w:color="auto"/>
        <w:left w:val="none" w:sz="0" w:space="0" w:color="auto"/>
        <w:bottom w:val="none" w:sz="0" w:space="0" w:color="auto"/>
        <w:right w:val="none" w:sz="0" w:space="0" w:color="auto"/>
      </w:divBdr>
      <w:divsChild>
        <w:div w:id="1333145620">
          <w:marLeft w:val="0"/>
          <w:marRight w:val="0"/>
          <w:marTop w:val="0"/>
          <w:marBottom w:val="0"/>
          <w:divBdr>
            <w:top w:val="none" w:sz="0" w:space="0" w:color="auto"/>
            <w:left w:val="none" w:sz="0" w:space="0" w:color="auto"/>
            <w:bottom w:val="none" w:sz="0" w:space="0" w:color="auto"/>
            <w:right w:val="none" w:sz="0" w:space="0" w:color="auto"/>
          </w:divBdr>
          <w:divsChild>
            <w:div w:id="1635211105">
              <w:marLeft w:val="0"/>
              <w:marRight w:val="0"/>
              <w:marTop w:val="0"/>
              <w:marBottom w:val="0"/>
              <w:divBdr>
                <w:top w:val="none" w:sz="0" w:space="0" w:color="auto"/>
                <w:left w:val="none" w:sz="0" w:space="0" w:color="auto"/>
                <w:bottom w:val="none" w:sz="0" w:space="0" w:color="auto"/>
                <w:right w:val="none" w:sz="0" w:space="0" w:color="auto"/>
              </w:divBdr>
              <w:divsChild>
                <w:div w:id="1956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4098">
      <w:bodyDiv w:val="1"/>
      <w:marLeft w:val="0"/>
      <w:marRight w:val="0"/>
      <w:marTop w:val="0"/>
      <w:marBottom w:val="0"/>
      <w:divBdr>
        <w:top w:val="none" w:sz="0" w:space="0" w:color="auto"/>
        <w:left w:val="none" w:sz="0" w:space="0" w:color="auto"/>
        <w:bottom w:val="none" w:sz="0" w:space="0" w:color="auto"/>
        <w:right w:val="none" w:sz="0" w:space="0" w:color="auto"/>
      </w:divBdr>
    </w:div>
    <w:div w:id="492453839">
      <w:bodyDiv w:val="1"/>
      <w:marLeft w:val="0"/>
      <w:marRight w:val="0"/>
      <w:marTop w:val="0"/>
      <w:marBottom w:val="0"/>
      <w:divBdr>
        <w:top w:val="none" w:sz="0" w:space="0" w:color="auto"/>
        <w:left w:val="none" w:sz="0" w:space="0" w:color="auto"/>
        <w:bottom w:val="none" w:sz="0" w:space="0" w:color="auto"/>
        <w:right w:val="none" w:sz="0" w:space="0" w:color="auto"/>
      </w:divBdr>
    </w:div>
    <w:div w:id="559831345">
      <w:bodyDiv w:val="1"/>
      <w:marLeft w:val="0"/>
      <w:marRight w:val="0"/>
      <w:marTop w:val="0"/>
      <w:marBottom w:val="0"/>
      <w:divBdr>
        <w:top w:val="none" w:sz="0" w:space="0" w:color="auto"/>
        <w:left w:val="none" w:sz="0" w:space="0" w:color="auto"/>
        <w:bottom w:val="none" w:sz="0" w:space="0" w:color="auto"/>
        <w:right w:val="none" w:sz="0" w:space="0" w:color="auto"/>
      </w:divBdr>
      <w:divsChild>
        <w:div w:id="220992611">
          <w:marLeft w:val="2160"/>
          <w:marRight w:val="0"/>
          <w:marTop w:val="0"/>
          <w:marBottom w:val="0"/>
          <w:divBdr>
            <w:top w:val="none" w:sz="0" w:space="0" w:color="auto"/>
            <w:left w:val="none" w:sz="0" w:space="0" w:color="auto"/>
            <w:bottom w:val="none" w:sz="0" w:space="0" w:color="auto"/>
            <w:right w:val="none" w:sz="0" w:space="0" w:color="auto"/>
          </w:divBdr>
        </w:div>
        <w:div w:id="1697732630">
          <w:marLeft w:val="2160"/>
          <w:marRight w:val="0"/>
          <w:marTop w:val="0"/>
          <w:marBottom w:val="0"/>
          <w:divBdr>
            <w:top w:val="none" w:sz="0" w:space="0" w:color="auto"/>
            <w:left w:val="none" w:sz="0" w:space="0" w:color="auto"/>
            <w:bottom w:val="none" w:sz="0" w:space="0" w:color="auto"/>
            <w:right w:val="none" w:sz="0" w:space="0" w:color="auto"/>
          </w:divBdr>
        </w:div>
        <w:div w:id="1205823164">
          <w:marLeft w:val="2160"/>
          <w:marRight w:val="0"/>
          <w:marTop w:val="0"/>
          <w:marBottom w:val="0"/>
          <w:divBdr>
            <w:top w:val="none" w:sz="0" w:space="0" w:color="auto"/>
            <w:left w:val="none" w:sz="0" w:space="0" w:color="auto"/>
            <w:bottom w:val="none" w:sz="0" w:space="0" w:color="auto"/>
            <w:right w:val="none" w:sz="0" w:space="0" w:color="auto"/>
          </w:divBdr>
        </w:div>
        <w:div w:id="1822622571">
          <w:marLeft w:val="2160"/>
          <w:marRight w:val="0"/>
          <w:marTop w:val="0"/>
          <w:marBottom w:val="0"/>
          <w:divBdr>
            <w:top w:val="none" w:sz="0" w:space="0" w:color="auto"/>
            <w:left w:val="none" w:sz="0" w:space="0" w:color="auto"/>
            <w:bottom w:val="none" w:sz="0" w:space="0" w:color="auto"/>
            <w:right w:val="none" w:sz="0" w:space="0" w:color="auto"/>
          </w:divBdr>
        </w:div>
        <w:div w:id="1752195547">
          <w:marLeft w:val="2160"/>
          <w:marRight w:val="0"/>
          <w:marTop w:val="0"/>
          <w:marBottom w:val="0"/>
          <w:divBdr>
            <w:top w:val="none" w:sz="0" w:space="0" w:color="auto"/>
            <w:left w:val="none" w:sz="0" w:space="0" w:color="auto"/>
            <w:bottom w:val="none" w:sz="0" w:space="0" w:color="auto"/>
            <w:right w:val="none" w:sz="0" w:space="0" w:color="auto"/>
          </w:divBdr>
        </w:div>
        <w:div w:id="640158725">
          <w:marLeft w:val="2160"/>
          <w:marRight w:val="0"/>
          <w:marTop w:val="0"/>
          <w:marBottom w:val="0"/>
          <w:divBdr>
            <w:top w:val="none" w:sz="0" w:space="0" w:color="auto"/>
            <w:left w:val="none" w:sz="0" w:space="0" w:color="auto"/>
            <w:bottom w:val="none" w:sz="0" w:space="0" w:color="auto"/>
            <w:right w:val="none" w:sz="0" w:space="0" w:color="auto"/>
          </w:divBdr>
        </w:div>
      </w:divsChild>
    </w:div>
    <w:div w:id="620191505">
      <w:bodyDiv w:val="1"/>
      <w:marLeft w:val="0"/>
      <w:marRight w:val="0"/>
      <w:marTop w:val="0"/>
      <w:marBottom w:val="0"/>
      <w:divBdr>
        <w:top w:val="none" w:sz="0" w:space="0" w:color="auto"/>
        <w:left w:val="none" w:sz="0" w:space="0" w:color="auto"/>
        <w:bottom w:val="none" w:sz="0" w:space="0" w:color="auto"/>
        <w:right w:val="none" w:sz="0" w:space="0" w:color="auto"/>
      </w:divBdr>
    </w:div>
    <w:div w:id="1829051659">
      <w:bodyDiv w:val="1"/>
      <w:marLeft w:val="0"/>
      <w:marRight w:val="0"/>
      <w:marTop w:val="0"/>
      <w:marBottom w:val="0"/>
      <w:divBdr>
        <w:top w:val="none" w:sz="0" w:space="0" w:color="auto"/>
        <w:left w:val="none" w:sz="0" w:space="0" w:color="auto"/>
        <w:bottom w:val="none" w:sz="0" w:space="0" w:color="auto"/>
        <w:right w:val="none" w:sz="0" w:space="0" w:color="auto"/>
      </w:divBdr>
      <w:divsChild>
        <w:div w:id="642585719">
          <w:marLeft w:val="0"/>
          <w:marRight w:val="0"/>
          <w:marTop w:val="0"/>
          <w:marBottom w:val="0"/>
          <w:divBdr>
            <w:top w:val="none" w:sz="0" w:space="0" w:color="auto"/>
            <w:left w:val="none" w:sz="0" w:space="0" w:color="auto"/>
            <w:bottom w:val="none" w:sz="0" w:space="0" w:color="auto"/>
            <w:right w:val="none" w:sz="0" w:space="0" w:color="auto"/>
          </w:divBdr>
          <w:divsChild>
            <w:div w:id="531772029">
              <w:marLeft w:val="600"/>
              <w:marRight w:val="0"/>
              <w:marTop w:val="0"/>
              <w:marBottom w:val="0"/>
              <w:divBdr>
                <w:top w:val="none" w:sz="0" w:space="0" w:color="auto"/>
                <w:left w:val="none" w:sz="0" w:space="0" w:color="auto"/>
                <w:bottom w:val="none" w:sz="0" w:space="0" w:color="auto"/>
                <w:right w:val="none" w:sz="0" w:space="0" w:color="auto"/>
              </w:divBdr>
            </w:div>
            <w:div w:id="58335594">
              <w:marLeft w:val="600"/>
              <w:marRight w:val="0"/>
              <w:marTop w:val="0"/>
              <w:marBottom w:val="0"/>
              <w:divBdr>
                <w:top w:val="none" w:sz="0" w:space="0" w:color="auto"/>
                <w:left w:val="none" w:sz="0" w:space="0" w:color="auto"/>
                <w:bottom w:val="none" w:sz="0" w:space="0" w:color="auto"/>
                <w:right w:val="none" w:sz="0" w:space="0" w:color="auto"/>
              </w:divBdr>
            </w:div>
            <w:div w:id="2144883520">
              <w:marLeft w:val="600"/>
              <w:marRight w:val="0"/>
              <w:marTop w:val="0"/>
              <w:marBottom w:val="0"/>
              <w:divBdr>
                <w:top w:val="none" w:sz="0" w:space="0" w:color="auto"/>
                <w:left w:val="none" w:sz="0" w:space="0" w:color="auto"/>
                <w:bottom w:val="none" w:sz="0" w:space="0" w:color="auto"/>
                <w:right w:val="none" w:sz="0" w:space="0" w:color="auto"/>
              </w:divBdr>
            </w:div>
            <w:div w:id="1741977531">
              <w:marLeft w:val="600"/>
              <w:marRight w:val="0"/>
              <w:marTop w:val="0"/>
              <w:marBottom w:val="0"/>
              <w:divBdr>
                <w:top w:val="none" w:sz="0" w:space="0" w:color="auto"/>
                <w:left w:val="none" w:sz="0" w:space="0" w:color="auto"/>
                <w:bottom w:val="none" w:sz="0" w:space="0" w:color="auto"/>
                <w:right w:val="none" w:sz="0" w:space="0" w:color="auto"/>
              </w:divBdr>
            </w:div>
            <w:div w:id="1946570859">
              <w:marLeft w:val="600"/>
              <w:marRight w:val="0"/>
              <w:marTop w:val="0"/>
              <w:marBottom w:val="0"/>
              <w:divBdr>
                <w:top w:val="none" w:sz="0" w:space="0" w:color="auto"/>
                <w:left w:val="none" w:sz="0" w:space="0" w:color="auto"/>
                <w:bottom w:val="none" w:sz="0" w:space="0" w:color="auto"/>
                <w:right w:val="none" w:sz="0" w:space="0" w:color="auto"/>
              </w:divBdr>
            </w:div>
          </w:divsChild>
        </w:div>
        <w:div w:id="493570683">
          <w:marLeft w:val="0"/>
          <w:marRight w:val="0"/>
          <w:marTop w:val="0"/>
          <w:marBottom w:val="0"/>
          <w:divBdr>
            <w:top w:val="none" w:sz="0" w:space="0" w:color="auto"/>
            <w:left w:val="none" w:sz="0" w:space="0" w:color="auto"/>
            <w:bottom w:val="none" w:sz="0" w:space="0" w:color="auto"/>
            <w:right w:val="none" w:sz="0" w:space="0" w:color="auto"/>
          </w:divBdr>
        </w:div>
      </w:divsChild>
    </w:div>
    <w:div w:id="1921213212">
      <w:bodyDiv w:val="1"/>
      <w:marLeft w:val="0"/>
      <w:marRight w:val="0"/>
      <w:marTop w:val="0"/>
      <w:marBottom w:val="0"/>
      <w:divBdr>
        <w:top w:val="none" w:sz="0" w:space="0" w:color="auto"/>
        <w:left w:val="none" w:sz="0" w:space="0" w:color="auto"/>
        <w:bottom w:val="none" w:sz="0" w:space="0" w:color="auto"/>
        <w:right w:val="none" w:sz="0" w:space="0" w:color="auto"/>
      </w:divBdr>
      <w:divsChild>
        <w:div w:id="94517158">
          <w:marLeft w:val="0"/>
          <w:marRight w:val="0"/>
          <w:marTop w:val="0"/>
          <w:marBottom w:val="0"/>
          <w:divBdr>
            <w:top w:val="none" w:sz="0" w:space="0" w:color="auto"/>
            <w:left w:val="none" w:sz="0" w:space="0" w:color="auto"/>
            <w:bottom w:val="none" w:sz="0" w:space="0" w:color="auto"/>
            <w:right w:val="none" w:sz="0" w:space="0" w:color="auto"/>
          </w:divBdr>
          <w:divsChild>
            <w:div w:id="1148086253">
              <w:marLeft w:val="0"/>
              <w:marRight w:val="0"/>
              <w:marTop w:val="0"/>
              <w:marBottom w:val="0"/>
              <w:divBdr>
                <w:top w:val="none" w:sz="0" w:space="0" w:color="auto"/>
                <w:left w:val="none" w:sz="0" w:space="0" w:color="auto"/>
                <w:bottom w:val="none" w:sz="0" w:space="0" w:color="auto"/>
                <w:right w:val="none" w:sz="0" w:space="0" w:color="auto"/>
              </w:divBdr>
              <w:divsChild>
                <w:div w:id="19133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tswoldarchaeology.co.uk/community/discover-the-past/developer-funded-roman-archaeology-in-britain/methodology-study/" TargetMode="External"/><Relationship Id="rId18" Type="http://schemas.openxmlformats.org/officeDocument/2006/relationships/hyperlink" Target="https://www.algao.org.uk/sites/default/files/documents/ALGAO_England_PXA_Advice_Note.pdf" TargetMode="External"/><Relationship Id="rId26" Type="http://schemas.openxmlformats.org/officeDocument/2006/relationships/hyperlink" Target="https://www.archaeologists.net/selection-toolkit" TargetMode="External"/><Relationship Id="rId3" Type="http://schemas.openxmlformats.org/officeDocument/2006/relationships/settings" Target="settings.xml"/><Relationship Id="rId21" Type="http://schemas.openxmlformats.org/officeDocument/2006/relationships/hyperlink" Target="https://www.archaeologists.net/digdigital" TargetMode="External"/><Relationship Id="rId34" Type="http://schemas.openxmlformats.org/officeDocument/2006/relationships/customXml" Target="../customXml/item3.xml"/><Relationship Id="rId7" Type="http://schemas.openxmlformats.org/officeDocument/2006/relationships/hyperlink" Target="https://www.archaeologists.net/sites/default/files/CIfAS&amp;GFinds_1.pdf" TargetMode="External"/><Relationship Id="rId12" Type="http://schemas.openxmlformats.org/officeDocument/2006/relationships/hyperlink" Target="https://www.cen-numismatique.com/" TargetMode="External"/><Relationship Id="rId17" Type="http://schemas.openxmlformats.org/officeDocument/2006/relationships/hyperlink" Target="https://www.archaeologists.net/sites/default/files/CIfAS&amp;GFinds_1.pdf" TargetMode="External"/><Relationship Id="rId25" Type="http://schemas.openxmlformats.org/officeDocument/2006/relationships/hyperlink" Target="https://www.archaeologists.net/sites/default/files/CIFAS&amp;GArchives_2.pdf"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historicengland.org.uk/images-books/publications/morphe-project-managers-guide/heag024-morphe-managers-guide/" TargetMode="External"/><Relationship Id="rId20" Type="http://schemas.openxmlformats.org/officeDocument/2006/relationships/hyperlink" Target="https://www.archaeologists.net/reporting-toolkit" TargetMode="External"/><Relationship Id="rId29" Type="http://schemas.openxmlformats.org/officeDocument/2006/relationships/hyperlink" Target="https://terminology.collectionstrust.org.uk/British-Museum-objects/" TargetMode="External"/><Relationship Id="rId1" Type="http://schemas.openxmlformats.org/officeDocument/2006/relationships/numbering" Target="numbering.xml"/><Relationship Id="rId6" Type="http://schemas.openxmlformats.org/officeDocument/2006/relationships/hyperlink" Target="https://historicengland.org.uk/images-books/publications/morphe-project-managers-guide/heag024-morphe-managers-guide/" TargetMode="External"/><Relationship Id="rId11" Type="http://schemas.openxmlformats.org/officeDocument/2006/relationships/hyperlink" Target="https://www.archaeologists.net/selection-toolkit" TargetMode="External"/><Relationship Id="rId24" Type="http://schemas.openxmlformats.org/officeDocument/2006/relationships/hyperlink" Target="https://historicengland.org.uk/images-books/publications/standard-for-pottery-studies-in-archaeology/" TargetMode="External"/><Relationship Id="rId32" Type="http://schemas.openxmlformats.org/officeDocument/2006/relationships/customXml" Target="../customXml/item1.xml"/><Relationship Id="rId5" Type="http://schemas.openxmlformats.org/officeDocument/2006/relationships/hyperlink" Target="https://www.go-fair.org/fair-principles/" TargetMode="External"/><Relationship Id="rId15" Type="http://schemas.openxmlformats.org/officeDocument/2006/relationships/hyperlink" Target="https://historicengland.org.uk/images-books/publications/standard-for-pottery-studies-in-archaeology/" TargetMode="External"/><Relationship Id="rId23" Type="http://schemas.openxmlformats.org/officeDocument/2006/relationships/hyperlink" Target="https://finds.org.uk/counties/findsrecordingguides" TargetMode="External"/><Relationship Id="rId28" Type="http://schemas.openxmlformats.org/officeDocument/2006/relationships/hyperlink" Target="https://terminology.collectionstrust.org.uk/British-Museum-materials/mathesp.htm" TargetMode="External"/><Relationship Id="rId10" Type="http://schemas.openxmlformats.org/officeDocument/2006/relationships/hyperlink" Target="https://www.archaeologists.net/digdigital" TargetMode="External"/><Relationship Id="rId19" Type="http://schemas.openxmlformats.org/officeDocument/2006/relationships/hyperlink" Target="https://www.archaeologists.net/toolkits/finds-record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chaeologists.net/reporting-toolkit" TargetMode="External"/><Relationship Id="rId14" Type="http://schemas.openxmlformats.org/officeDocument/2006/relationships/hyperlink" Target="http://www.archaeologists.net/sites/default/files/7090FinalReport.compressed.pdf" TargetMode="External"/><Relationship Id="rId22" Type="http://schemas.openxmlformats.org/officeDocument/2006/relationships/hyperlink" Target="https://www.archaeologists.net/selection-toolkit" TargetMode="External"/><Relationship Id="rId27" Type="http://schemas.openxmlformats.org/officeDocument/2006/relationships/hyperlink" Target="http://www.heritage-standards.org.uk/fish-vocabularies/" TargetMode="External"/><Relationship Id="rId30" Type="http://schemas.openxmlformats.org/officeDocument/2006/relationships/fontTable" Target="fontTable.xml"/><Relationship Id="rId8" Type="http://schemas.openxmlformats.org/officeDocument/2006/relationships/hyperlink" Target="https://www.archaeologists.net/toolkits/finds-reco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3" ma:contentTypeDescription="Create a new document." ma:contentTypeScope="" ma:versionID="2c3520a6f1f1c9e08204ab03022a3710">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6cba1b1b0d21a7d93ffa85df2367d9a6"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C0CFE-E934-4CA7-AE70-C14FAC68708C}"/>
</file>

<file path=customXml/itemProps2.xml><?xml version="1.0" encoding="utf-8"?>
<ds:datastoreItem xmlns:ds="http://schemas.openxmlformats.org/officeDocument/2006/customXml" ds:itemID="{D77841E6-6ED5-4086-800F-8045D13A9BFC}"/>
</file>

<file path=customXml/itemProps3.xml><?xml version="1.0" encoding="utf-8"?>
<ds:datastoreItem xmlns:ds="http://schemas.openxmlformats.org/officeDocument/2006/customXml" ds:itemID="{69D550CB-7675-4161-A745-53F2CFE22BE0}"/>
</file>

<file path=docProps/app.xml><?xml version="1.0" encoding="utf-8"?>
<Properties xmlns="http://schemas.openxmlformats.org/officeDocument/2006/extended-properties" xmlns:vt="http://schemas.openxmlformats.org/officeDocument/2006/docPropsVTypes">
  <Template>Normal.dotm</Template>
  <TotalTime>124</TotalTime>
  <Pages>5</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Guest</dc:creator>
  <cp:keywords/>
  <dc:description/>
  <cp:lastModifiedBy>Peter Guest</cp:lastModifiedBy>
  <cp:revision>10</cp:revision>
  <cp:lastPrinted>2022-05-12T10:18:00Z</cp:lastPrinted>
  <dcterms:created xsi:type="dcterms:W3CDTF">2022-05-10T13:09:00Z</dcterms:created>
  <dcterms:modified xsi:type="dcterms:W3CDTF">2022-05-12T11:08:00Z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ies>
</file>