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F285" w14:textId="77777777" w:rsidR="00DF44FF" w:rsidRPr="002771C4" w:rsidRDefault="00DF44FF" w:rsidP="00332050">
      <w:pPr>
        <w:spacing w:line="240" w:lineRule="auto"/>
      </w:pPr>
    </w:p>
    <w:p w14:paraId="35C9F286" w14:textId="77777777" w:rsidR="00DF44FF" w:rsidRPr="002771C4" w:rsidRDefault="00DF44FF" w:rsidP="00332050">
      <w:pPr>
        <w:spacing w:line="240" w:lineRule="auto"/>
      </w:pPr>
    </w:p>
    <w:p w14:paraId="35C9F287" w14:textId="77777777" w:rsidR="00DF44FF" w:rsidRPr="002771C4" w:rsidRDefault="00DF44FF" w:rsidP="00332050">
      <w:pPr>
        <w:spacing w:line="240" w:lineRule="auto"/>
      </w:pPr>
    </w:p>
    <w:tbl>
      <w:tblPr>
        <w:tblStyle w:val="1"/>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6024"/>
      </w:tblGrid>
      <w:tr w:rsidR="00DF44FF" w:rsidRPr="002771C4" w14:paraId="35C9F289" w14:textId="77777777">
        <w:tc>
          <w:tcPr>
            <w:tcW w:w="8472" w:type="dxa"/>
            <w:gridSpan w:val="2"/>
            <w:tcBorders>
              <w:top w:val="single" w:sz="4" w:space="0" w:color="000000"/>
              <w:left w:val="single" w:sz="4" w:space="0" w:color="000000"/>
              <w:bottom w:val="single" w:sz="4" w:space="0" w:color="000000"/>
              <w:right w:val="single" w:sz="4" w:space="0" w:color="000000"/>
            </w:tcBorders>
          </w:tcPr>
          <w:p w14:paraId="35C9F288" w14:textId="77777777" w:rsidR="00DF44FF" w:rsidRPr="002771C4" w:rsidRDefault="00067CAE" w:rsidP="00332050">
            <w:pPr>
              <w:pBdr>
                <w:top w:val="nil"/>
                <w:left w:val="nil"/>
                <w:bottom w:val="nil"/>
                <w:right w:val="nil"/>
                <w:between w:val="nil"/>
              </w:pBdr>
              <w:spacing w:after="0" w:line="240" w:lineRule="auto"/>
              <w:rPr>
                <w:b/>
                <w:color w:val="000000"/>
              </w:rPr>
            </w:pPr>
            <w:r w:rsidRPr="002771C4">
              <w:rPr>
                <w:b/>
                <w:color w:val="000000"/>
              </w:rPr>
              <w:t>DOCUMENT CONTROL GRID</w:t>
            </w:r>
          </w:p>
        </w:tc>
      </w:tr>
      <w:tr w:rsidR="00DF44FF" w:rsidRPr="002771C4" w14:paraId="35C9F28C" w14:textId="77777777">
        <w:tc>
          <w:tcPr>
            <w:tcW w:w="2448" w:type="dxa"/>
            <w:tcBorders>
              <w:top w:val="single" w:sz="4" w:space="0" w:color="000000"/>
              <w:left w:val="single" w:sz="4" w:space="0" w:color="000000"/>
              <w:bottom w:val="single" w:sz="4" w:space="0" w:color="000000"/>
              <w:right w:val="single" w:sz="4" w:space="0" w:color="000000"/>
            </w:tcBorders>
          </w:tcPr>
          <w:p w14:paraId="35C9F28A" w14:textId="77777777" w:rsidR="00DF44FF" w:rsidRPr="002771C4" w:rsidRDefault="00067CAE" w:rsidP="00332050">
            <w:pPr>
              <w:spacing w:line="240" w:lineRule="auto"/>
              <w:rPr>
                <w:b/>
              </w:rPr>
            </w:pPr>
            <w:r w:rsidRPr="002771C4">
              <w:rPr>
                <w:b/>
              </w:rPr>
              <w:t>Derivation</w:t>
            </w:r>
          </w:p>
        </w:tc>
        <w:tc>
          <w:tcPr>
            <w:tcW w:w="6024" w:type="dxa"/>
            <w:tcBorders>
              <w:top w:val="single" w:sz="4" w:space="0" w:color="000000"/>
              <w:left w:val="single" w:sz="4" w:space="0" w:color="000000"/>
              <w:bottom w:val="single" w:sz="4" w:space="0" w:color="000000"/>
              <w:right w:val="single" w:sz="4" w:space="0" w:color="000000"/>
            </w:tcBorders>
          </w:tcPr>
          <w:p w14:paraId="35C9F28B" w14:textId="25BCC9F8" w:rsidR="00DF44FF" w:rsidRPr="002771C4" w:rsidRDefault="009A4C11" w:rsidP="00332050">
            <w:pPr>
              <w:spacing w:line="240" w:lineRule="auto"/>
            </w:pPr>
            <w:r w:rsidRPr="009A4C11">
              <w:t>Developing a suite of guidance tools to support the promotion and delivery of community engagement in archaeology</w:t>
            </w:r>
          </w:p>
        </w:tc>
      </w:tr>
      <w:tr w:rsidR="00DF44FF" w:rsidRPr="002771C4" w14:paraId="35C9F28F" w14:textId="77777777">
        <w:tc>
          <w:tcPr>
            <w:tcW w:w="2448" w:type="dxa"/>
            <w:tcBorders>
              <w:top w:val="single" w:sz="4" w:space="0" w:color="000000"/>
              <w:left w:val="single" w:sz="4" w:space="0" w:color="000000"/>
              <w:bottom w:val="single" w:sz="4" w:space="0" w:color="000000"/>
              <w:right w:val="single" w:sz="4" w:space="0" w:color="000000"/>
            </w:tcBorders>
          </w:tcPr>
          <w:p w14:paraId="35C9F28D" w14:textId="77777777" w:rsidR="00DF44FF" w:rsidRPr="002771C4" w:rsidRDefault="00067CAE" w:rsidP="00332050">
            <w:pPr>
              <w:spacing w:line="240" w:lineRule="auto"/>
              <w:rPr>
                <w:b/>
              </w:rPr>
            </w:pPr>
            <w:r w:rsidRPr="002771C4">
              <w:rPr>
                <w:b/>
              </w:rPr>
              <w:t>Origination date</w:t>
            </w:r>
          </w:p>
        </w:tc>
        <w:tc>
          <w:tcPr>
            <w:tcW w:w="6024" w:type="dxa"/>
            <w:tcBorders>
              <w:top w:val="single" w:sz="4" w:space="0" w:color="000000"/>
              <w:left w:val="single" w:sz="4" w:space="0" w:color="000000"/>
              <w:bottom w:val="single" w:sz="4" w:space="0" w:color="000000"/>
              <w:right w:val="single" w:sz="4" w:space="0" w:color="000000"/>
            </w:tcBorders>
          </w:tcPr>
          <w:p w14:paraId="35C9F28E" w14:textId="4EEDAA8F" w:rsidR="00DF44FF" w:rsidRPr="002771C4" w:rsidRDefault="00067CAE" w:rsidP="00332050">
            <w:pPr>
              <w:spacing w:line="240" w:lineRule="auto"/>
            </w:pPr>
            <w:r w:rsidRPr="002771C4">
              <w:t>10 July 2019</w:t>
            </w:r>
          </w:p>
        </w:tc>
      </w:tr>
      <w:tr w:rsidR="00DF44FF" w:rsidRPr="002771C4" w14:paraId="35C9F292" w14:textId="77777777">
        <w:tc>
          <w:tcPr>
            <w:tcW w:w="2448" w:type="dxa"/>
            <w:tcBorders>
              <w:top w:val="single" w:sz="4" w:space="0" w:color="000000"/>
              <w:left w:val="single" w:sz="4" w:space="0" w:color="000000"/>
              <w:bottom w:val="single" w:sz="4" w:space="0" w:color="000000"/>
              <w:right w:val="single" w:sz="4" w:space="0" w:color="000000"/>
            </w:tcBorders>
          </w:tcPr>
          <w:p w14:paraId="35C9F290" w14:textId="77777777" w:rsidR="00DF44FF" w:rsidRPr="002771C4" w:rsidRDefault="00067CAE" w:rsidP="00332050">
            <w:pPr>
              <w:spacing w:line="240" w:lineRule="auto"/>
              <w:rPr>
                <w:b/>
              </w:rPr>
            </w:pPr>
            <w:r w:rsidRPr="002771C4">
              <w:rPr>
                <w:b/>
              </w:rPr>
              <w:t>Author(s)</w:t>
            </w:r>
          </w:p>
        </w:tc>
        <w:tc>
          <w:tcPr>
            <w:tcW w:w="6024" w:type="dxa"/>
            <w:tcBorders>
              <w:top w:val="single" w:sz="4" w:space="0" w:color="000000"/>
              <w:left w:val="single" w:sz="4" w:space="0" w:color="000000"/>
              <w:bottom w:val="single" w:sz="4" w:space="0" w:color="000000"/>
              <w:right w:val="single" w:sz="4" w:space="0" w:color="000000"/>
            </w:tcBorders>
          </w:tcPr>
          <w:p w14:paraId="35C9F291" w14:textId="4320B924" w:rsidR="00DF44FF" w:rsidRPr="002771C4" w:rsidRDefault="007D2804" w:rsidP="00332050">
            <w:pPr>
              <w:spacing w:line="240" w:lineRule="auto"/>
            </w:pPr>
            <w:r w:rsidRPr="002771C4">
              <w:t>Dan Miles</w:t>
            </w:r>
          </w:p>
        </w:tc>
      </w:tr>
      <w:tr w:rsidR="00DF44FF" w:rsidRPr="002771C4" w14:paraId="35C9F295" w14:textId="77777777">
        <w:tc>
          <w:tcPr>
            <w:tcW w:w="2448" w:type="dxa"/>
            <w:tcBorders>
              <w:top w:val="single" w:sz="4" w:space="0" w:color="000000"/>
              <w:left w:val="single" w:sz="4" w:space="0" w:color="000000"/>
              <w:bottom w:val="single" w:sz="4" w:space="0" w:color="000000"/>
              <w:right w:val="single" w:sz="4" w:space="0" w:color="000000"/>
            </w:tcBorders>
          </w:tcPr>
          <w:p w14:paraId="35C9F293" w14:textId="77777777" w:rsidR="00DF44FF" w:rsidRPr="002771C4" w:rsidRDefault="00067CAE" w:rsidP="00332050">
            <w:pPr>
              <w:spacing w:line="240" w:lineRule="auto"/>
              <w:rPr>
                <w:b/>
              </w:rPr>
            </w:pPr>
            <w:r w:rsidRPr="002771C4">
              <w:rPr>
                <w:b/>
              </w:rPr>
              <w:t>Date</w:t>
            </w:r>
          </w:p>
        </w:tc>
        <w:tc>
          <w:tcPr>
            <w:tcW w:w="6024" w:type="dxa"/>
            <w:tcBorders>
              <w:top w:val="single" w:sz="4" w:space="0" w:color="000000"/>
              <w:left w:val="single" w:sz="4" w:space="0" w:color="000000"/>
              <w:bottom w:val="single" w:sz="4" w:space="0" w:color="000000"/>
              <w:right w:val="single" w:sz="4" w:space="0" w:color="000000"/>
            </w:tcBorders>
          </w:tcPr>
          <w:p w14:paraId="35C9F294" w14:textId="7E18347D" w:rsidR="00DF44FF" w:rsidRPr="002771C4" w:rsidRDefault="007165CA" w:rsidP="00332050">
            <w:pPr>
              <w:spacing w:line="240" w:lineRule="auto"/>
            </w:pPr>
            <w:r w:rsidRPr="002771C4">
              <w:t>27 Sept 2021</w:t>
            </w:r>
          </w:p>
        </w:tc>
      </w:tr>
      <w:tr w:rsidR="00DF44FF" w:rsidRPr="002771C4" w14:paraId="35C9F298" w14:textId="77777777">
        <w:tc>
          <w:tcPr>
            <w:tcW w:w="2448" w:type="dxa"/>
            <w:tcBorders>
              <w:top w:val="single" w:sz="4" w:space="0" w:color="000000"/>
              <w:left w:val="single" w:sz="4" w:space="0" w:color="000000"/>
              <w:bottom w:val="single" w:sz="4" w:space="0" w:color="000000"/>
              <w:right w:val="single" w:sz="4" w:space="0" w:color="000000"/>
            </w:tcBorders>
          </w:tcPr>
          <w:p w14:paraId="35C9F296" w14:textId="77777777" w:rsidR="00DF44FF" w:rsidRPr="002771C4" w:rsidRDefault="00067CAE" w:rsidP="00332050">
            <w:pPr>
              <w:spacing w:line="240" w:lineRule="auto"/>
              <w:rPr>
                <w:b/>
              </w:rPr>
            </w:pPr>
            <w:r w:rsidRPr="002771C4">
              <w:rPr>
                <w:b/>
              </w:rPr>
              <w:t>Reviser(s)</w:t>
            </w:r>
          </w:p>
        </w:tc>
        <w:tc>
          <w:tcPr>
            <w:tcW w:w="6024" w:type="dxa"/>
            <w:tcBorders>
              <w:top w:val="single" w:sz="4" w:space="0" w:color="000000"/>
              <w:left w:val="single" w:sz="4" w:space="0" w:color="000000"/>
              <w:bottom w:val="single" w:sz="4" w:space="0" w:color="000000"/>
              <w:right w:val="single" w:sz="4" w:space="0" w:color="000000"/>
            </w:tcBorders>
          </w:tcPr>
          <w:p w14:paraId="35C9F297" w14:textId="5473C1F8" w:rsidR="00DF44FF" w:rsidRPr="002771C4" w:rsidRDefault="007D2804" w:rsidP="00332050">
            <w:pPr>
              <w:spacing w:line="240" w:lineRule="auto"/>
            </w:pPr>
            <w:r w:rsidRPr="002771C4">
              <w:t>James Brown</w:t>
            </w:r>
            <w:r w:rsidR="000D6B05">
              <w:t xml:space="preserve">, </w:t>
            </w:r>
            <w:r w:rsidRPr="002771C4">
              <w:t>Sarah-Jane Farr</w:t>
            </w:r>
            <w:r w:rsidR="000D6B05">
              <w:t>, Jen Parker Wooding</w:t>
            </w:r>
          </w:p>
        </w:tc>
      </w:tr>
      <w:tr w:rsidR="00DF44FF" w:rsidRPr="002771C4" w14:paraId="35C9F29B" w14:textId="77777777">
        <w:tc>
          <w:tcPr>
            <w:tcW w:w="2448" w:type="dxa"/>
            <w:tcBorders>
              <w:top w:val="single" w:sz="4" w:space="0" w:color="000000"/>
              <w:left w:val="single" w:sz="4" w:space="0" w:color="000000"/>
              <w:bottom w:val="single" w:sz="4" w:space="0" w:color="000000"/>
              <w:right w:val="single" w:sz="4" w:space="0" w:color="000000"/>
            </w:tcBorders>
          </w:tcPr>
          <w:p w14:paraId="35C9F299" w14:textId="77777777" w:rsidR="00DF44FF" w:rsidRPr="002771C4" w:rsidRDefault="00067CAE" w:rsidP="00332050">
            <w:pPr>
              <w:spacing w:line="240" w:lineRule="auto"/>
              <w:rPr>
                <w:b/>
              </w:rPr>
            </w:pPr>
            <w:r w:rsidRPr="002771C4">
              <w:rPr>
                <w:b/>
              </w:rPr>
              <w:t>Version</w:t>
            </w:r>
          </w:p>
        </w:tc>
        <w:tc>
          <w:tcPr>
            <w:tcW w:w="6024" w:type="dxa"/>
            <w:tcBorders>
              <w:top w:val="single" w:sz="4" w:space="0" w:color="000000"/>
              <w:left w:val="single" w:sz="4" w:space="0" w:color="000000"/>
              <w:bottom w:val="single" w:sz="4" w:space="0" w:color="000000"/>
              <w:right w:val="single" w:sz="4" w:space="0" w:color="000000"/>
            </w:tcBorders>
          </w:tcPr>
          <w:p w14:paraId="35C9F29A" w14:textId="13257E31" w:rsidR="00DF44FF" w:rsidRPr="002771C4" w:rsidRDefault="000950AF" w:rsidP="00332050">
            <w:pPr>
              <w:spacing w:line="240" w:lineRule="auto"/>
            </w:pPr>
            <w:r w:rsidRPr="002771C4">
              <w:t>2.</w:t>
            </w:r>
            <w:r w:rsidR="00134339">
              <w:t>9</w:t>
            </w:r>
          </w:p>
        </w:tc>
      </w:tr>
      <w:tr w:rsidR="00DF44FF" w:rsidRPr="002771C4" w14:paraId="35C9F29E" w14:textId="77777777">
        <w:trPr>
          <w:trHeight w:val="240"/>
        </w:trPr>
        <w:tc>
          <w:tcPr>
            <w:tcW w:w="2448" w:type="dxa"/>
            <w:tcBorders>
              <w:top w:val="single" w:sz="4" w:space="0" w:color="000000"/>
              <w:left w:val="single" w:sz="4" w:space="0" w:color="000000"/>
              <w:bottom w:val="single" w:sz="4" w:space="0" w:color="000000"/>
              <w:right w:val="single" w:sz="4" w:space="0" w:color="000000"/>
            </w:tcBorders>
          </w:tcPr>
          <w:p w14:paraId="35C9F29C" w14:textId="511BEE00" w:rsidR="00DF44FF" w:rsidRPr="00C46885" w:rsidRDefault="00067CAE" w:rsidP="00332050">
            <w:pPr>
              <w:spacing w:line="240" w:lineRule="auto"/>
              <w:rPr>
                <w:b/>
              </w:rPr>
            </w:pPr>
            <w:r w:rsidRPr="00C46885">
              <w:rPr>
                <w:b/>
              </w:rPr>
              <w:t>Status</w:t>
            </w:r>
            <w:r w:rsidR="00C46885" w:rsidRPr="00C46885">
              <w:rPr>
                <w:b/>
              </w:rPr>
              <w:t xml:space="preserve"> </w:t>
            </w:r>
          </w:p>
        </w:tc>
        <w:tc>
          <w:tcPr>
            <w:tcW w:w="6024" w:type="dxa"/>
            <w:tcBorders>
              <w:top w:val="single" w:sz="4" w:space="0" w:color="000000"/>
              <w:left w:val="single" w:sz="4" w:space="0" w:color="000000"/>
              <w:bottom w:val="single" w:sz="4" w:space="0" w:color="000000"/>
              <w:right w:val="single" w:sz="4" w:space="0" w:color="000000"/>
            </w:tcBorders>
          </w:tcPr>
          <w:p w14:paraId="35C9F29D" w14:textId="69AA900C" w:rsidR="00DF44FF" w:rsidRPr="00C46885" w:rsidRDefault="00067CAE" w:rsidP="00332050">
            <w:pPr>
              <w:widowControl w:val="0"/>
              <w:pBdr>
                <w:top w:val="nil"/>
                <w:left w:val="nil"/>
                <w:bottom w:val="nil"/>
                <w:right w:val="nil"/>
                <w:between w:val="nil"/>
              </w:pBdr>
              <w:spacing w:after="0" w:line="240" w:lineRule="auto"/>
              <w:ind w:hanging="563"/>
            </w:pPr>
            <w:r w:rsidRPr="00C46885">
              <w:t>DRA</w:t>
            </w:r>
            <w:r w:rsidR="00C46885" w:rsidRPr="00C46885">
              <w:t xml:space="preserve"> </w:t>
            </w:r>
            <w:r w:rsidR="00EB298A">
              <w:t xml:space="preserve">  </w:t>
            </w:r>
            <w:r w:rsidR="00C46885" w:rsidRPr="00C46885">
              <w:t>Final</w:t>
            </w:r>
          </w:p>
        </w:tc>
      </w:tr>
      <w:tr w:rsidR="00DF44FF" w:rsidRPr="002771C4" w14:paraId="35C9F2A1" w14:textId="77777777">
        <w:tc>
          <w:tcPr>
            <w:tcW w:w="2448" w:type="dxa"/>
            <w:tcBorders>
              <w:top w:val="single" w:sz="4" w:space="0" w:color="000000"/>
              <w:left w:val="single" w:sz="4" w:space="0" w:color="000000"/>
              <w:bottom w:val="single" w:sz="4" w:space="0" w:color="000000"/>
              <w:right w:val="single" w:sz="4" w:space="0" w:color="000000"/>
            </w:tcBorders>
          </w:tcPr>
          <w:p w14:paraId="35C9F29F" w14:textId="77777777" w:rsidR="00DF44FF" w:rsidRPr="002771C4" w:rsidRDefault="00067CAE" w:rsidP="00332050">
            <w:pPr>
              <w:spacing w:line="240" w:lineRule="auto"/>
              <w:rPr>
                <w:b/>
              </w:rPr>
            </w:pPr>
            <w:r w:rsidRPr="002771C4">
              <w:rPr>
                <w:b/>
              </w:rPr>
              <w:t>Date of last revision</w:t>
            </w:r>
          </w:p>
        </w:tc>
        <w:tc>
          <w:tcPr>
            <w:tcW w:w="6024" w:type="dxa"/>
            <w:tcBorders>
              <w:top w:val="single" w:sz="4" w:space="0" w:color="000000"/>
              <w:left w:val="single" w:sz="4" w:space="0" w:color="000000"/>
              <w:bottom w:val="single" w:sz="4" w:space="0" w:color="000000"/>
              <w:right w:val="single" w:sz="4" w:space="0" w:color="000000"/>
            </w:tcBorders>
          </w:tcPr>
          <w:p w14:paraId="35C9F2A0" w14:textId="1B2CF873" w:rsidR="00DF44FF" w:rsidRPr="002771C4" w:rsidRDefault="007F29A6" w:rsidP="00332050">
            <w:pPr>
              <w:spacing w:line="240" w:lineRule="auto"/>
            </w:pPr>
            <w:r>
              <w:t>2 March 2022</w:t>
            </w:r>
          </w:p>
        </w:tc>
      </w:tr>
      <w:tr w:rsidR="00DF44FF" w:rsidRPr="002771C4" w14:paraId="35C9F2A4" w14:textId="77777777">
        <w:tc>
          <w:tcPr>
            <w:tcW w:w="2448" w:type="dxa"/>
            <w:tcBorders>
              <w:top w:val="single" w:sz="4" w:space="0" w:color="000000"/>
              <w:left w:val="single" w:sz="4" w:space="0" w:color="000000"/>
              <w:bottom w:val="single" w:sz="4" w:space="0" w:color="000000"/>
              <w:right w:val="single" w:sz="4" w:space="0" w:color="000000"/>
            </w:tcBorders>
          </w:tcPr>
          <w:p w14:paraId="35C9F2A2" w14:textId="77777777" w:rsidR="00DF44FF" w:rsidRPr="002771C4" w:rsidRDefault="00067CAE" w:rsidP="00332050">
            <w:pPr>
              <w:spacing w:line="240" w:lineRule="auto"/>
              <w:rPr>
                <w:b/>
              </w:rPr>
            </w:pPr>
            <w:r w:rsidRPr="002771C4">
              <w:rPr>
                <w:b/>
              </w:rPr>
              <w:t>Required actions</w:t>
            </w:r>
          </w:p>
        </w:tc>
        <w:tc>
          <w:tcPr>
            <w:tcW w:w="6024" w:type="dxa"/>
            <w:tcBorders>
              <w:top w:val="single" w:sz="4" w:space="0" w:color="000000"/>
              <w:left w:val="single" w:sz="4" w:space="0" w:color="000000"/>
              <w:bottom w:val="single" w:sz="4" w:space="0" w:color="000000"/>
              <w:right w:val="single" w:sz="4" w:space="0" w:color="000000"/>
            </w:tcBorders>
          </w:tcPr>
          <w:p w14:paraId="35C9F2A3" w14:textId="2273E170" w:rsidR="00DF44FF" w:rsidRPr="002771C4" w:rsidRDefault="00DF44FF" w:rsidP="00332050">
            <w:pPr>
              <w:tabs>
                <w:tab w:val="left" w:pos="5524"/>
              </w:tabs>
              <w:spacing w:line="240" w:lineRule="auto"/>
            </w:pPr>
          </w:p>
        </w:tc>
      </w:tr>
    </w:tbl>
    <w:p w14:paraId="35C9F2A5" w14:textId="77777777" w:rsidR="00DF44FF" w:rsidRPr="002771C4" w:rsidRDefault="00DF44FF" w:rsidP="00332050">
      <w:pPr>
        <w:spacing w:line="240" w:lineRule="auto"/>
      </w:pPr>
    </w:p>
    <w:p w14:paraId="35C9F2A6" w14:textId="77777777" w:rsidR="00DF44FF" w:rsidRPr="002771C4" w:rsidRDefault="00DF44FF" w:rsidP="00332050">
      <w:pPr>
        <w:spacing w:line="240" w:lineRule="auto"/>
      </w:pPr>
    </w:p>
    <w:p w14:paraId="35C9F2A7" w14:textId="77777777" w:rsidR="00DF44FF" w:rsidRPr="002771C4" w:rsidRDefault="00DF44FF" w:rsidP="00332050">
      <w:pPr>
        <w:spacing w:line="240" w:lineRule="auto"/>
      </w:pPr>
    </w:p>
    <w:p w14:paraId="35C9F2A8" w14:textId="5F33D99E" w:rsidR="00DF44FF" w:rsidRPr="002771C4" w:rsidRDefault="00DF44FF" w:rsidP="00332050">
      <w:pPr>
        <w:spacing w:line="240" w:lineRule="auto"/>
      </w:pPr>
    </w:p>
    <w:p w14:paraId="633073EA" w14:textId="54DBB8F7" w:rsidR="00904EE8" w:rsidRPr="002771C4" w:rsidRDefault="00904EE8" w:rsidP="00332050">
      <w:pPr>
        <w:spacing w:line="240" w:lineRule="auto"/>
      </w:pPr>
    </w:p>
    <w:p w14:paraId="0C53B739" w14:textId="02A8B0DF" w:rsidR="00904EE8" w:rsidRPr="002771C4" w:rsidRDefault="00904EE8" w:rsidP="00332050">
      <w:pPr>
        <w:spacing w:line="240" w:lineRule="auto"/>
      </w:pPr>
    </w:p>
    <w:p w14:paraId="1C96001B" w14:textId="418EBBEA" w:rsidR="00904EE8" w:rsidRPr="002771C4" w:rsidRDefault="00904EE8" w:rsidP="00332050">
      <w:pPr>
        <w:spacing w:line="240" w:lineRule="auto"/>
      </w:pPr>
    </w:p>
    <w:p w14:paraId="1BCBE204" w14:textId="77AA7D67" w:rsidR="00904EE8" w:rsidRPr="002771C4" w:rsidRDefault="00904EE8" w:rsidP="00332050">
      <w:pPr>
        <w:spacing w:line="240" w:lineRule="auto"/>
      </w:pPr>
    </w:p>
    <w:p w14:paraId="6299E355" w14:textId="44B32B17" w:rsidR="00904EE8" w:rsidRPr="002771C4" w:rsidRDefault="00904EE8" w:rsidP="00332050">
      <w:pPr>
        <w:spacing w:line="240" w:lineRule="auto"/>
      </w:pPr>
    </w:p>
    <w:p w14:paraId="2888EAD2" w14:textId="27A54F7C" w:rsidR="00904EE8" w:rsidRPr="002771C4" w:rsidRDefault="00904EE8" w:rsidP="00332050">
      <w:pPr>
        <w:spacing w:line="240" w:lineRule="auto"/>
      </w:pPr>
    </w:p>
    <w:p w14:paraId="0BE70FAF" w14:textId="77777777" w:rsidR="00904EE8" w:rsidRPr="002771C4" w:rsidRDefault="00904EE8" w:rsidP="00332050">
      <w:pPr>
        <w:spacing w:line="240" w:lineRule="auto"/>
      </w:pPr>
    </w:p>
    <w:p w14:paraId="35C9F2A9" w14:textId="364C2F84" w:rsidR="00332050" w:rsidRDefault="00332050">
      <w:r>
        <w:br w:type="page"/>
      </w:r>
    </w:p>
    <w:p w14:paraId="35C9F2AE" w14:textId="093BDF6B" w:rsidR="00DF44FF" w:rsidRPr="00332050" w:rsidRDefault="00A42B2E" w:rsidP="00332050">
      <w:pPr>
        <w:spacing w:line="240" w:lineRule="auto"/>
        <w:jc w:val="center"/>
        <w:rPr>
          <w:b/>
          <w:bCs/>
          <w:sz w:val="32"/>
          <w:szCs w:val="32"/>
        </w:rPr>
      </w:pPr>
      <w:r w:rsidRPr="00332050">
        <w:rPr>
          <w:b/>
          <w:bCs/>
          <w:sz w:val="32"/>
          <w:szCs w:val="32"/>
        </w:rPr>
        <w:lastRenderedPageBreak/>
        <w:t xml:space="preserve">Developing </w:t>
      </w:r>
      <w:r w:rsidR="00C96BD7" w:rsidRPr="00332050">
        <w:rPr>
          <w:b/>
          <w:bCs/>
          <w:sz w:val="32"/>
          <w:szCs w:val="32"/>
        </w:rPr>
        <w:t xml:space="preserve">a suite of guidance </w:t>
      </w:r>
      <w:r w:rsidR="00245202" w:rsidRPr="00332050">
        <w:rPr>
          <w:b/>
          <w:bCs/>
          <w:sz w:val="32"/>
          <w:szCs w:val="32"/>
        </w:rPr>
        <w:t xml:space="preserve">tools </w:t>
      </w:r>
      <w:r w:rsidR="00C96BD7" w:rsidRPr="00332050">
        <w:rPr>
          <w:b/>
          <w:bCs/>
          <w:sz w:val="32"/>
          <w:szCs w:val="32"/>
        </w:rPr>
        <w:t xml:space="preserve">to support the </w:t>
      </w:r>
      <w:r w:rsidR="00C35986" w:rsidRPr="00332050">
        <w:rPr>
          <w:b/>
          <w:bCs/>
          <w:sz w:val="32"/>
          <w:szCs w:val="32"/>
        </w:rPr>
        <w:t xml:space="preserve">promotion and </w:t>
      </w:r>
      <w:r w:rsidR="00904EE8" w:rsidRPr="00332050">
        <w:rPr>
          <w:b/>
          <w:bCs/>
          <w:sz w:val="32"/>
          <w:szCs w:val="32"/>
        </w:rPr>
        <w:t>delivery of community engagement in archaeology</w:t>
      </w:r>
    </w:p>
    <w:p w14:paraId="35C9F2B3" w14:textId="77777777" w:rsidR="00DF44FF" w:rsidRPr="002771C4" w:rsidRDefault="00DF44FF" w:rsidP="00332050">
      <w:pPr>
        <w:spacing w:line="240" w:lineRule="auto"/>
      </w:pPr>
    </w:p>
    <w:p w14:paraId="35C9F2B4" w14:textId="66A3FC77" w:rsidR="00DF44FF" w:rsidRPr="00332050" w:rsidRDefault="00624911" w:rsidP="00332050">
      <w:pPr>
        <w:spacing w:line="240" w:lineRule="auto"/>
        <w:rPr>
          <w:b/>
        </w:rPr>
      </w:pPr>
      <w:r w:rsidRPr="00332050">
        <w:rPr>
          <w:b/>
        </w:rPr>
        <w:t>Intr</w:t>
      </w:r>
      <w:r w:rsidR="00634653" w:rsidRPr="00332050">
        <w:rPr>
          <w:b/>
        </w:rPr>
        <w:t>o</w:t>
      </w:r>
      <w:r w:rsidRPr="00332050">
        <w:rPr>
          <w:b/>
        </w:rPr>
        <w:t>duction</w:t>
      </w:r>
    </w:p>
    <w:p w14:paraId="310CD81B" w14:textId="6A21D5CE" w:rsidR="000558D9" w:rsidRDefault="000558D9" w:rsidP="000558D9">
      <w:pPr>
        <w:spacing w:line="240" w:lineRule="auto"/>
      </w:pPr>
      <w:r>
        <w:t>The Chartered Institute for Archaeologists (CIfA) has received funding from Historic England for a project to develop guidance presented as a CIfA Toolkit to support the promotion and delivery of community archaeology.</w:t>
      </w:r>
    </w:p>
    <w:p w14:paraId="16FFF00F" w14:textId="05254026" w:rsidR="000558D9" w:rsidRDefault="000558D9" w:rsidP="000558D9">
      <w:pPr>
        <w:spacing w:line="240" w:lineRule="auto"/>
      </w:pPr>
      <w:r>
        <w:t xml:space="preserve">The main target audience for this guidance are those who commission community archaeology projects and/or engagement activities. </w:t>
      </w:r>
    </w:p>
    <w:p w14:paraId="77E45A13" w14:textId="77777777" w:rsidR="000558D9" w:rsidRDefault="000558D9" w:rsidP="000558D9">
      <w:pPr>
        <w:spacing w:line="240" w:lineRule="auto"/>
      </w:pPr>
      <w:r>
        <w:t>The project aims to support community engagement to become embedded into sector practice across the UK, and to provide a framework to promote good and innovative implementation. The main driver is to support the delivery of public benefit through archaeology undertaken within the context of the planning system. However, the proposed suite of guidance will also provide important resources for community engagement undertaken through other initiatives, including landscape partnerships and monument monitoring schemes for example.</w:t>
      </w:r>
    </w:p>
    <w:p w14:paraId="607E56C0" w14:textId="011AB026" w:rsidR="00CB268C" w:rsidRPr="0025191B" w:rsidRDefault="00CB268C" w:rsidP="000558D9">
      <w:pPr>
        <w:spacing w:line="240" w:lineRule="auto"/>
      </w:pPr>
      <w:r>
        <w:t xml:space="preserve">The proposal </w:t>
      </w:r>
      <w:r w:rsidR="00B04E3F">
        <w:t xml:space="preserve">also </w:t>
      </w:r>
      <w:r>
        <w:t xml:space="preserve">has the support of ALGAO UK Executive Committee. </w:t>
      </w:r>
    </w:p>
    <w:p w14:paraId="6B9867ED" w14:textId="3D9A1257" w:rsidR="00B33A1A" w:rsidRPr="002771C4" w:rsidRDefault="00B33A1A" w:rsidP="00332050">
      <w:pPr>
        <w:spacing w:line="240" w:lineRule="auto"/>
      </w:pPr>
      <w:r w:rsidRPr="00332050">
        <w:rPr>
          <w:b/>
        </w:rPr>
        <w:t>Background</w:t>
      </w:r>
    </w:p>
    <w:p w14:paraId="37FA7997" w14:textId="47F8B16E" w:rsidR="006B3EA1" w:rsidRPr="002771C4" w:rsidRDefault="006B3EA1" w:rsidP="00332050">
      <w:pPr>
        <w:spacing w:line="240" w:lineRule="auto"/>
      </w:pPr>
      <w:r w:rsidRPr="002771C4">
        <w:t xml:space="preserve">Community engagement </w:t>
      </w:r>
      <w:r w:rsidR="003426D4" w:rsidRPr="00425F32">
        <w:t xml:space="preserve">in </w:t>
      </w:r>
      <w:r w:rsidRPr="002771C4">
        <w:t xml:space="preserve">archaeology has </w:t>
      </w:r>
      <w:r w:rsidR="00B96BCC" w:rsidRPr="002771C4">
        <w:t>a long tradition and history</w:t>
      </w:r>
      <w:r w:rsidR="00E07824" w:rsidRPr="002771C4">
        <w:t xml:space="preserve"> with </w:t>
      </w:r>
      <w:r w:rsidRPr="002771C4">
        <w:t xml:space="preserve">active </w:t>
      </w:r>
      <w:r w:rsidR="00FD0115" w:rsidRPr="002771C4">
        <w:t xml:space="preserve">involvement </w:t>
      </w:r>
      <w:r w:rsidRPr="002771C4">
        <w:t xml:space="preserve">taking place all over </w:t>
      </w:r>
      <w:r w:rsidR="00715540">
        <w:t xml:space="preserve">the UK. </w:t>
      </w:r>
      <w:r w:rsidR="00E66BA2">
        <w:t>Delivering and p</w:t>
      </w:r>
      <w:r w:rsidRPr="002771C4">
        <w:t>articipating in community archaeology</w:t>
      </w:r>
      <w:r w:rsidR="00332050">
        <w:t xml:space="preserve"> </w:t>
      </w:r>
      <w:r w:rsidRPr="002771C4">
        <w:t>can bring with it social, communal and wellbeing benefits</w:t>
      </w:r>
      <w:r w:rsidR="00E67664" w:rsidRPr="002771C4">
        <w:t xml:space="preserve"> as well as a better understanding of place and empowerment of local communities to </w:t>
      </w:r>
      <w:r w:rsidR="003426D4" w:rsidRPr="002771C4">
        <w:t>care for and promote their local historic environment</w:t>
      </w:r>
      <w:r w:rsidRPr="002771C4">
        <w:t xml:space="preserve">. The results of these projects also have a research value, leading to a greater understanding of the past and better management of the historic environment. </w:t>
      </w:r>
    </w:p>
    <w:p w14:paraId="74360D1B" w14:textId="6E85D4BE" w:rsidR="00963D56" w:rsidRPr="002771C4" w:rsidRDefault="006B3EA1" w:rsidP="00332050">
      <w:pPr>
        <w:spacing w:after="0" w:line="240" w:lineRule="auto"/>
      </w:pPr>
      <w:r w:rsidRPr="002771C4">
        <w:t xml:space="preserve">Community archaeology takes place in </w:t>
      </w:r>
      <w:r w:rsidR="0094472D" w:rsidRPr="002771C4">
        <w:t>several</w:t>
      </w:r>
      <w:r w:rsidRPr="002771C4">
        <w:t xml:space="preserve"> different </w:t>
      </w:r>
      <w:r w:rsidR="00E07824" w:rsidRPr="002771C4">
        <w:t>contexts</w:t>
      </w:r>
      <w:r w:rsidRPr="002771C4">
        <w:t xml:space="preserve">, from </w:t>
      </w:r>
      <w:r w:rsidR="00C66340" w:rsidRPr="002771C4">
        <w:t xml:space="preserve">local </w:t>
      </w:r>
      <w:r w:rsidRPr="002771C4">
        <w:t>community group led investigations to nationally funded monument protection schemes</w:t>
      </w:r>
      <w:r w:rsidR="00C66340" w:rsidRPr="002771C4">
        <w:t xml:space="preserve"> and</w:t>
      </w:r>
      <w:r w:rsidR="00D919EF" w:rsidRPr="002771C4">
        <w:t xml:space="preserve"> landscape partnerships</w:t>
      </w:r>
      <w:r w:rsidR="00C66340" w:rsidRPr="002771C4">
        <w:t xml:space="preserve">. </w:t>
      </w:r>
      <w:r w:rsidR="00DE67D1" w:rsidRPr="002771C4">
        <w:t>Another important opportunity for community engagement is provided through development led investigations</w:t>
      </w:r>
      <w:r w:rsidR="009B622F" w:rsidRPr="002771C4">
        <w:t xml:space="preserve"> – which make up </w:t>
      </w:r>
      <w:r w:rsidR="003C2296" w:rsidRPr="002771C4">
        <w:t>most of the</w:t>
      </w:r>
      <w:r w:rsidR="009B622F" w:rsidRPr="002771C4">
        <w:t xml:space="preserve"> archaeological work undertaken </w:t>
      </w:r>
      <w:r w:rsidR="00715540">
        <w:t>across the UK</w:t>
      </w:r>
      <w:r w:rsidR="009B622F" w:rsidRPr="002771C4">
        <w:t xml:space="preserve">. </w:t>
      </w:r>
    </w:p>
    <w:p w14:paraId="4EC57038" w14:textId="77777777" w:rsidR="00963D56" w:rsidRPr="002771C4" w:rsidRDefault="00963D56" w:rsidP="00332050">
      <w:pPr>
        <w:spacing w:after="0" w:line="240" w:lineRule="auto"/>
      </w:pPr>
    </w:p>
    <w:p w14:paraId="1CDAE76F" w14:textId="6018D52E" w:rsidR="004E079B" w:rsidRPr="003C2296" w:rsidRDefault="00963D56" w:rsidP="003C2296">
      <w:pPr>
        <w:pStyle w:val="CommentText"/>
        <w:rPr>
          <w:sz w:val="22"/>
          <w:szCs w:val="22"/>
        </w:rPr>
      </w:pPr>
      <w:r w:rsidRPr="002771C4">
        <w:rPr>
          <w:sz w:val="22"/>
          <w:szCs w:val="22"/>
        </w:rPr>
        <w:t xml:space="preserve">Community engagement </w:t>
      </w:r>
      <w:r w:rsidR="009A37B3" w:rsidRPr="002771C4">
        <w:rPr>
          <w:sz w:val="22"/>
          <w:szCs w:val="22"/>
        </w:rPr>
        <w:t xml:space="preserve">through development led archaeological investigations is </w:t>
      </w:r>
      <w:r w:rsidR="0080139D" w:rsidRPr="002771C4">
        <w:rPr>
          <w:sz w:val="22"/>
          <w:szCs w:val="22"/>
        </w:rPr>
        <w:t xml:space="preserve">one of the areas that </w:t>
      </w:r>
      <w:r w:rsidR="00CD1AA1" w:rsidRPr="002771C4">
        <w:rPr>
          <w:sz w:val="22"/>
          <w:szCs w:val="22"/>
        </w:rPr>
        <w:t xml:space="preserve">contributes to supporting </w:t>
      </w:r>
      <w:r w:rsidR="00217E39" w:rsidRPr="002771C4">
        <w:rPr>
          <w:sz w:val="22"/>
          <w:szCs w:val="22"/>
        </w:rPr>
        <w:t xml:space="preserve">the delivery of </w:t>
      </w:r>
      <w:r w:rsidR="00CD1AA1" w:rsidRPr="002771C4">
        <w:rPr>
          <w:sz w:val="22"/>
          <w:szCs w:val="22"/>
        </w:rPr>
        <w:t>public benefit</w:t>
      </w:r>
      <w:r w:rsidR="00217E39" w:rsidRPr="002771C4">
        <w:rPr>
          <w:sz w:val="22"/>
          <w:szCs w:val="22"/>
        </w:rPr>
        <w:t xml:space="preserve">. This </w:t>
      </w:r>
      <w:r w:rsidR="00890718" w:rsidRPr="002771C4">
        <w:rPr>
          <w:sz w:val="22"/>
          <w:szCs w:val="22"/>
        </w:rPr>
        <w:t xml:space="preserve">is </w:t>
      </w:r>
      <w:r w:rsidR="00217E39" w:rsidRPr="002771C4">
        <w:rPr>
          <w:sz w:val="22"/>
          <w:szCs w:val="22"/>
        </w:rPr>
        <w:t xml:space="preserve">set out in the </w:t>
      </w:r>
      <w:r w:rsidR="008D52C7" w:rsidRPr="002771C4">
        <w:rPr>
          <w:sz w:val="22"/>
          <w:szCs w:val="22"/>
        </w:rPr>
        <w:t>Chartered Institute of Archaeolog</w:t>
      </w:r>
      <w:r w:rsidR="00C5000D">
        <w:rPr>
          <w:sz w:val="22"/>
          <w:szCs w:val="22"/>
        </w:rPr>
        <w:t>ists</w:t>
      </w:r>
      <w:r w:rsidR="008D52C7" w:rsidRPr="002771C4">
        <w:rPr>
          <w:sz w:val="22"/>
          <w:szCs w:val="22"/>
        </w:rPr>
        <w:t xml:space="preserve"> (CIfA)</w:t>
      </w:r>
      <w:r w:rsidR="00631D89" w:rsidRPr="002771C4">
        <w:rPr>
          <w:sz w:val="22"/>
          <w:szCs w:val="22"/>
        </w:rPr>
        <w:t xml:space="preserve"> public </w:t>
      </w:r>
      <w:r w:rsidR="00FD5E2A" w:rsidRPr="002771C4">
        <w:rPr>
          <w:sz w:val="22"/>
          <w:szCs w:val="22"/>
        </w:rPr>
        <w:t>benefit information sheet</w:t>
      </w:r>
      <w:r w:rsidR="00FD5E2A" w:rsidRPr="002771C4">
        <w:rPr>
          <w:rStyle w:val="FootnoteReference"/>
          <w:sz w:val="22"/>
          <w:szCs w:val="22"/>
        </w:rPr>
        <w:footnoteReference w:id="1"/>
      </w:r>
      <w:r w:rsidR="00FD5E2A" w:rsidRPr="002771C4">
        <w:rPr>
          <w:sz w:val="22"/>
          <w:szCs w:val="22"/>
        </w:rPr>
        <w:t xml:space="preserve"> and in its Professional Practice Paper: Delivering public beneﬁt</w:t>
      </w:r>
      <w:r w:rsidR="00B63C12" w:rsidRPr="002771C4">
        <w:rPr>
          <w:rStyle w:val="FootnoteReference"/>
          <w:sz w:val="22"/>
          <w:szCs w:val="22"/>
        </w:rPr>
        <w:footnoteReference w:id="2"/>
      </w:r>
      <w:r w:rsidR="003C2296">
        <w:rPr>
          <w:sz w:val="22"/>
          <w:szCs w:val="22"/>
        </w:rPr>
        <w:t>.</w:t>
      </w:r>
      <w:r w:rsidR="00FD5E2A" w:rsidRPr="002771C4">
        <w:rPr>
          <w:sz w:val="22"/>
          <w:szCs w:val="22"/>
        </w:rPr>
        <w:t xml:space="preserve"> </w:t>
      </w:r>
      <w:r w:rsidR="00423B31" w:rsidRPr="002771C4">
        <w:rPr>
          <w:sz w:val="22"/>
          <w:szCs w:val="22"/>
        </w:rPr>
        <w:t xml:space="preserve">It is </w:t>
      </w:r>
      <w:r w:rsidR="00E32016" w:rsidRPr="00425F32">
        <w:rPr>
          <w:sz w:val="22"/>
          <w:szCs w:val="22"/>
        </w:rPr>
        <w:t xml:space="preserve">also </w:t>
      </w:r>
      <w:r w:rsidR="00423B31" w:rsidRPr="002771C4">
        <w:rPr>
          <w:sz w:val="22"/>
          <w:szCs w:val="22"/>
        </w:rPr>
        <w:t xml:space="preserve">covered </w:t>
      </w:r>
      <w:r w:rsidR="00631D89" w:rsidRPr="002771C4">
        <w:rPr>
          <w:sz w:val="22"/>
          <w:szCs w:val="22"/>
        </w:rPr>
        <w:t>in the forthcoming European Archaeology Council (EAC)</w:t>
      </w:r>
      <w:r w:rsidR="00893A1A" w:rsidRPr="002771C4">
        <w:rPr>
          <w:sz w:val="22"/>
          <w:szCs w:val="22"/>
        </w:rPr>
        <w:t xml:space="preserve"> guidance on public benefit.  </w:t>
      </w:r>
      <w:r w:rsidR="00631D89" w:rsidRPr="002771C4">
        <w:rPr>
          <w:sz w:val="22"/>
          <w:szCs w:val="22"/>
        </w:rPr>
        <w:t xml:space="preserve"> </w:t>
      </w:r>
    </w:p>
    <w:p w14:paraId="08A5DD79" w14:textId="33B72146" w:rsidR="00C84353" w:rsidRPr="002771C4" w:rsidRDefault="004E079B" w:rsidP="00332050">
      <w:pPr>
        <w:spacing w:after="0" w:line="240" w:lineRule="auto"/>
      </w:pPr>
      <w:r w:rsidRPr="002771C4">
        <w:t xml:space="preserve">However, </w:t>
      </w:r>
      <w:r w:rsidR="00E27C5F" w:rsidRPr="002771C4">
        <w:t>recent studies, including the survey of local authority planning archaeologists (</w:t>
      </w:r>
      <w:r w:rsidR="00596DD2" w:rsidRPr="002771C4">
        <w:t xml:space="preserve">CIfA Voluntary </w:t>
      </w:r>
      <w:r w:rsidR="000C1558">
        <w:t xml:space="preserve">and Community </w:t>
      </w:r>
      <w:r w:rsidR="00596DD2" w:rsidRPr="002771C4">
        <w:t>Special Interest Group</w:t>
      </w:r>
      <w:r w:rsidR="000C1558">
        <w:t xml:space="preserve"> (</w:t>
      </w:r>
      <w:bookmarkStart w:id="0" w:name="_Hlk87882234"/>
      <w:r w:rsidR="000C1558">
        <w:t>V&amp;C SIG)</w:t>
      </w:r>
      <w:r w:rsidR="00596DD2" w:rsidRPr="002771C4">
        <w:t>, forthcoming</w:t>
      </w:r>
      <w:r w:rsidR="00E27C5F" w:rsidRPr="002771C4">
        <w:t>)</w:t>
      </w:r>
      <w:r w:rsidR="00C82C6C" w:rsidRPr="002771C4">
        <w:t>,</w:t>
      </w:r>
      <w:r w:rsidR="00E27C5F" w:rsidRPr="002771C4">
        <w:t xml:space="preserve"> ha</w:t>
      </w:r>
      <w:r w:rsidR="00F82A58">
        <w:t>s</w:t>
      </w:r>
      <w:r w:rsidR="00E27C5F" w:rsidRPr="002771C4">
        <w:t xml:space="preserve"> shown that </w:t>
      </w:r>
      <w:r w:rsidR="004A0A88" w:rsidRPr="002771C4">
        <w:t xml:space="preserve">community engagement through the planning system is not </w:t>
      </w:r>
      <w:r w:rsidR="005E393B" w:rsidRPr="002771C4">
        <w:t xml:space="preserve">embedded in </w:t>
      </w:r>
      <w:r w:rsidR="00C0376D" w:rsidRPr="002771C4">
        <w:t xml:space="preserve">sector </w:t>
      </w:r>
      <w:r w:rsidR="005E393B" w:rsidRPr="002771C4">
        <w:t xml:space="preserve">practice but is </w:t>
      </w:r>
      <w:r w:rsidR="00C0376D" w:rsidRPr="002771C4">
        <w:t xml:space="preserve">often </w:t>
      </w:r>
      <w:r w:rsidR="005E393B" w:rsidRPr="002771C4">
        <w:t>seen as an add on</w:t>
      </w:r>
      <w:r w:rsidR="00F82A58">
        <w:t xml:space="preserve"> and</w:t>
      </w:r>
      <w:r w:rsidR="005E393B" w:rsidRPr="002771C4">
        <w:t xml:space="preserve"> that there </w:t>
      </w:r>
      <w:r w:rsidR="001530F6" w:rsidRPr="002771C4">
        <w:t>is a great deal of variation in implementation</w:t>
      </w:r>
      <w:r w:rsidR="00503070" w:rsidRPr="002771C4">
        <w:t xml:space="preserve"> and</w:t>
      </w:r>
      <w:r w:rsidR="001530F6" w:rsidRPr="002771C4">
        <w:t xml:space="preserve"> little evaluation</w:t>
      </w:r>
      <w:r w:rsidR="00503070" w:rsidRPr="002771C4">
        <w:t xml:space="preserve"> of impact</w:t>
      </w:r>
      <w:bookmarkEnd w:id="0"/>
      <w:r w:rsidR="00503070" w:rsidRPr="002771C4">
        <w:t xml:space="preserve">. </w:t>
      </w:r>
      <w:r w:rsidR="00462B64">
        <w:t>The r</w:t>
      </w:r>
      <w:r w:rsidR="00CD625D">
        <w:t>esponses from this</w:t>
      </w:r>
      <w:r w:rsidR="00462B64">
        <w:t xml:space="preserve"> </w:t>
      </w:r>
      <w:r w:rsidR="009A0C10">
        <w:t>survey</w:t>
      </w:r>
      <w:r w:rsidR="0043722C">
        <w:t xml:space="preserve"> also </w:t>
      </w:r>
      <w:r w:rsidR="00E32711">
        <w:t>highlighted a</w:t>
      </w:r>
      <w:r w:rsidR="00F52EC9">
        <w:t xml:space="preserve"> </w:t>
      </w:r>
      <w:r w:rsidR="002B299A" w:rsidRPr="002771C4">
        <w:t xml:space="preserve">need </w:t>
      </w:r>
      <w:r w:rsidR="005E393B" w:rsidRPr="002771C4">
        <w:t xml:space="preserve">to </w:t>
      </w:r>
      <w:r w:rsidR="00E55DD0" w:rsidRPr="002771C4">
        <w:t xml:space="preserve">provide support for </w:t>
      </w:r>
      <w:r w:rsidR="00D208AC">
        <w:lastRenderedPageBreak/>
        <w:t>archaeological advisors</w:t>
      </w:r>
      <w:r w:rsidR="00D208AC" w:rsidRPr="002771C4">
        <w:t xml:space="preserve"> </w:t>
      </w:r>
      <w:r w:rsidR="00E55DD0" w:rsidRPr="002771C4">
        <w:t>and practitioners on the delivery of public engagement activities</w:t>
      </w:r>
      <w:r w:rsidR="008816A7" w:rsidRPr="002771C4">
        <w:t xml:space="preserve"> that are proportionate to the work being undertaken and which will support the delivery of public benefit across a range of </w:t>
      </w:r>
      <w:r w:rsidR="00FA63E1" w:rsidRPr="002771C4">
        <w:t>different types and scale of archaeological interventions</w:t>
      </w:r>
      <w:r w:rsidR="00E55DD0" w:rsidRPr="002771C4">
        <w:t>.</w:t>
      </w:r>
    </w:p>
    <w:p w14:paraId="646A0963" w14:textId="77777777" w:rsidR="00C84353" w:rsidRPr="002771C4" w:rsidRDefault="00C84353" w:rsidP="00332050">
      <w:pPr>
        <w:spacing w:after="0" w:line="240" w:lineRule="auto"/>
      </w:pPr>
    </w:p>
    <w:p w14:paraId="637E6468" w14:textId="56B98E1A" w:rsidR="00C550DB" w:rsidRDefault="00C12D51" w:rsidP="00332050">
      <w:pPr>
        <w:spacing w:after="0" w:line="240" w:lineRule="auto"/>
      </w:pPr>
      <w:r w:rsidRPr="002771C4">
        <w:t xml:space="preserve">CIfA, </w:t>
      </w:r>
      <w:r w:rsidR="00F5419E" w:rsidRPr="002771C4">
        <w:t xml:space="preserve">in its role as the leading professional body </w:t>
      </w:r>
      <w:r w:rsidR="00CB352E">
        <w:t>for</w:t>
      </w:r>
      <w:r w:rsidR="00CB352E" w:rsidRPr="002771C4">
        <w:t xml:space="preserve"> </w:t>
      </w:r>
      <w:r w:rsidR="00F5419E" w:rsidRPr="002771C4">
        <w:t>archaeologists working in the UK</w:t>
      </w:r>
      <w:r w:rsidR="00E32016" w:rsidRPr="002771C4">
        <w:t xml:space="preserve"> and </w:t>
      </w:r>
      <w:r w:rsidR="00C241D9">
        <w:t>overseas</w:t>
      </w:r>
      <w:r w:rsidR="00067CAE" w:rsidRPr="002771C4">
        <w:t xml:space="preserve">, has a suite of </w:t>
      </w:r>
      <w:hyperlink r:id="rId11" w:history="1">
        <w:r w:rsidR="00067CAE" w:rsidRPr="006C1BA7">
          <w:rPr>
            <w:rStyle w:val="Hyperlink"/>
          </w:rPr>
          <w:t xml:space="preserve">professional </w:t>
        </w:r>
        <w:r w:rsidR="00E32016" w:rsidRPr="006C1BA7">
          <w:rPr>
            <w:rStyle w:val="Hyperlink"/>
          </w:rPr>
          <w:t>S</w:t>
        </w:r>
        <w:r w:rsidR="00067CAE" w:rsidRPr="006C1BA7">
          <w:rPr>
            <w:rStyle w:val="Hyperlink"/>
          </w:rPr>
          <w:t>tandards and guidance</w:t>
        </w:r>
        <w:r w:rsidR="00F97871" w:rsidRPr="006C1BA7">
          <w:rPr>
            <w:rStyle w:val="Hyperlink"/>
          </w:rPr>
          <w:t xml:space="preserve"> documents</w:t>
        </w:r>
      </w:hyperlink>
      <w:r w:rsidR="00067CAE" w:rsidRPr="002771C4">
        <w:t xml:space="preserve"> covering a range of aspects of archaeological investigations</w:t>
      </w:r>
      <w:r w:rsidR="00DD4161" w:rsidRPr="002771C4">
        <w:t xml:space="preserve">. </w:t>
      </w:r>
    </w:p>
    <w:p w14:paraId="39F49A8D" w14:textId="77777777" w:rsidR="00C550DB" w:rsidRDefault="00C550DB" w:rsidP="00332050">
      <w:pPr>
        <w:spacing w:after="0" w:line="240" w:lineRule="auto"/>
      </w:pPr>
    </w:p>
    <w:p w14:paraId="2A32524A" w14:textId="278D6C37" w:rsidR="00332D2F" w:rsidRDefault="00D41CB2" w:rsidP="00332050">
      <w:pPr>
        <w:spacing w:after="0" w:line="240" w:lineRule="auto"/>
        <w:rPr>
          <w:rStyle w:val="Hyperlink"/>
          <w:color w:val="auto"/>
          <w:vertAlign w:val="superscript"/>
        </w:rPr>
      </w:pPr>
      <w:r w:rsidRPr="002771C4">
        <w:t>Currently,</w:t>
      </w:r>
      <w:r w:rsidR="00C47F7F">
        <w:t xml:space="preserve"> community engagement </w:t>
      </w:r>
      <w:r w:rsidR="00AC29FD" w:rsidRPr="002771C4">
        <w:t xml:space="preserve">is </w:t>
      </w:r>
      <w:r w:rsidR="00CB352E">
        <w:t>referenced indirectly in the Code of conduct</w:t>
      </w:r>
      <w:r w:rsidR="009C6205">
        <w:t xml:space="preserve"> (sections 1.12 &amp; 4.6</w:t>
      </w:r>
      <w:r w:rsidR="00732B98">
        <w:t>, see below)</w:t>
      </w:r>
      <w:r w:rsidR="00A45623">
        <w:t xml:space="preserve"> and is</w:t>
      </w:r>
      <w:r w:rsidR="00CB352E">
        <w:t xml:space="preserve"> the subject of a policy statement on the use of Volunteers and Students</w:t>
      </w:r>
      <w:r w:rsidR="00404E2B">
        <w:t>.</w:t>
      </w:r>
      <w:r w:rsidR="00E423E1">
        <w:t xml:space="preserve"> </w:t>
      </w:r>
      <w:hyperlink r:id="rId12" w:history="1">
        <w:r w:rsidR="00067CAE" w:rsidRPr="004C56F9">
          <w:rPr>
            <w:rStyle w:val="Hyperlink"/>
            <w:color w:val="auto"/>
            <w:vertAlign w:val="superscript"/>
          </w:rPr>
          <w:footnoteReference w:id="3"/>
        </w:r>
      </w:hyperlink>
      <w:r w:rsidR="009C6205" w:rsidRPr="004C56F9">
        <w:rPr>
          <w:rStyle w:val="Hyperlink"/>
          <w:color w:val="auto"/>
          <w:vertAlign w:val="superscript"/>
        </w:rPr>
        <w:t xml:space="preserve"> </w:t>
      </w:r>
    </w:p>
    <w:p w14:paraId="757BC8E7" w14:textId="77777777" w:rsidR="00332D2F" w:rsidRDefault="00332D2F" w:rsidP="00332050">
      <w:pPr>
        <w:spacing w:after="0" w:line="240" w:lineRule="auto"/>
        <w:rPr>
          <w:rStyle w:val="Hyperlink"/>
          <w:color w:val="auto"/>
          <w:vertAlign w:val="superscript"/>
        </w:rPr>
      </w:pPr>
    </w:p>
    <w:p w14:paraId="4089BD2A" w14:textId="77777777" w:rsidR="00C550DB" w:rsidRPr="00EB2E18" w:rsidRDefault="00C550DB" w:rsidP="00C550DB">
      <w:pPr>
        <w:pStyle w:val="CommentText"/>
        <w:numPr>
          <w:ilvl w:val="0"/>
          <w:numId w:val="33"/>
        </w:numPr>
      </w:pPr>
      <w:r w:rsidRPr="002C7470">
        <w:rPr>
          <w:b/>
          <w:bCs/>
        </w:rPr>
        <w:t>1.12 CIfA Code of conduct</w:t>
      </w:r>
      <w:r>
        <w:t xml:space="preserve"> </w:t>
      </w:r>
      <w:r>
        <w:br/>
      </w:r>
      <w:r w:rsidRPr="009C6205">
        <w:rPr>
          <w:i/>
          <w:iCs/>
          <w:sz w:val="22"/>
          <w:szCs w:val="22"/>
        </w:rPr>
        <w:t xml:space="preserve">A member shall </w:t>
      </w:r>
      <w:proofErr w:type="gramStart"/>
      <w:r w:rsidRPr="009C6205">
        <w:rPr>
          <w:i/>
          <w:iCs/>
          <w:sz w:val="22"/>
          <w:szCs w:val="22"/>
        </w:rPr>
        <w:t>take into account</w:t>
      </w:r>
      <w:proofErr w:type="gramEnd"/>
      <w:r w:rsidRPr="009C6205">
        <w:rPr>
          <w:i/>
          <w:iCs/>
          <w:sz w:val="22"/>
          <w:szCs w:val="22"/>
        </w:rPr>
        <w:t xml:space="preserve"> in the planning and execution of historic environment projects</w:t>
      </w:r>
      <w:r>
        <w:rPr>
          <w:i/>
          <w:iCs/>
          <w:sz w:val="22"/>
          <w:szCs w:val="22"/>
        </w:rPr>
        <w:t xml:space="preserve"> </w:t>
      </w:r>
      <w:r w:rsidRPr="009C6205">
        <w:rPr>
          <w:i/>
          <w:iCs/>
          <w:sz w:val="22"/>
          <w:szCs w:val="22"/>
        </w:rPr>
        <w:t>the legitimate concerns of individuals or group(s) about places, objects, human remains or intangible heritage that they believe to hold significant cultural or religious meaning or connotations, provided that the member knew or reasonably ought to have known about those concerns. Members shall consult where appropriate with those affected individuals or group(s), with the goal of establishing a mutually beneficial working relationship</w:t>
      </w:r>
      <w:r>
        <w:rPr>
          <w:i/>
          <w:iCs/>
          <w:sz w:val="22"/>
          <w:szCs w:val="22"/>
        </w:rPr>
        <w:t>.</w:t>
      </w:r>
    </w:p>
    <w:p w14:paraId="7F2AC94C" w14:textId="77777777" w:rsidR="00C550DB" w:rsidRDefault="00C550DB" w:rsidP="00C550DB">
      <w:pPr>
        <w:pStyle w:val="CommentText"/>
        <w:numPr>
          <w:ilvl w:val="0"/>
          <w:numId w:val="33"/>
        </w:numPr>
      </w:pPr>
      <w:r w:rsidRPr="002C7470">
        <w:rPr>
          <w:b/>
          <w:bCs/>
          <w:sz w:val="22"/>
          <w:szCs w:val="22"/>
        </w:rPr>
        <w:t>4.6 CIfA Code of conduct</w:t>
      </w:r>
      <w:r>
        <w:rPr>
          <w:sz w:val="22"/>
          <w:szCs w:val="22"/>
        </w:rPr>
        <w:br/>
      </w:r>
      <w:r w:rsidRPr="00732B98">
        <w:rPr>
          <w:i/>
          <w:iCs/>
          <w:sz w:val="22"/>
          <w:szCs w:val="22"/>
        </w:rPr>
        <w:t xml:space="preserve">A member shall accept the responsibility of informing the public of the purpose and results of their work and shall accede to reasonable requests for access to sites (within limitations laid down by the funding agency or by the owners or the tenants of the site, or by considerations of safety or the wellbeing of the site) and for information for dispersal to the </w:t>
      </w:r>
      <w:proofErr w:type="gramStart"/>
      <w:r w:rsidRPr="00732B98">
        <w:rPr>
          <w:i/>
          <w:iCs/>
          <w:sz w:val="22"/>
          <w:szCs w:val="22"/>
        </w:rPr>
        <w:t>general public</w:t>
      </w:r>
      <w:proofErr w:type="gramEnd"/>
      <w:r>
        <w:rPr>
          <w:i/>
          <w:iCs/>
          <w:sz w:val="22"/>
          <w:szCs w:val="22"/>
        </w:rPr>
        <w:t>.</w:t>
      </w:r>
    </w:p>
    <w:p w14:paraId="3C003B8E" w14:textId="3828EE98" w:rsidR="006F3BC0" w:rsidRDefault="00DF63F8" w:rsidP="00982FD5">
      <w:pPr>
        <w:spacing w:after="0" w:line="240" w:lineRule="auto"/>
        <w:ind w:left="360"/>
      </w:pPr>
      <w:r>
        <w:t>T</w:t>
      </w:r>
      <w:r w:rsidR="006F3BC0">
        <w:t xml:space="preserve">he ethos of community engagement benefit is enshrined across various archaeological job roles </w:t>
      </w:r>
      <w:r w:rsidR="001415F9">
        <w:t>including those who commission, carry out and regulate work on historic assets and places</w:t>
      </w:r>
      <w:r w:rsidR="00570A88">
        <w:t xml:space="preserve">. </w:t>
      </w:r>
      <w:r w:rsidR="003C17C6">
        <w:t xml:space="preserve">There </w:t>
      </w:r>
      <w:r w:rsidR="00570A88">
        <w:t xml:space="preserve">are </w:t>
      </w:r>
      <w:r w:rsidR="00D06083">
        <w:t xml:space="preserve">also </w:t>
      </w:r>
      <w:r w:rsidR="00982FD5">
        <w:t>reference</w:t>
      </w:r>
      <w:r w:rsidR="009B2564">
        <w:t xml:space="preserve">s in </w:t>
      </w:r>
      <w:r w:rsidR="00982FD5">
        <w:t xml:space="preserve">various </w:t>
      </w:r>
      <w:r w:rsidR="006F3BC0">
        <w:t xml:space="preserve">CIfA Standards and </w:t>
      </w:r>
      <w:r w:rsidR="00D06083">
        <w:t>g</w:t>
      </w:r>
      <w:r w:rsidR="006F3BC0">
        <w:t>uidance</w:t>
      </w:r>
      <w:r w:rsidR="00D06083">
        <w:t xml:space="preserve"> documents</w:t>
      </w:r>
      <w:r w:rsidR="0018203D">
        <w:t xml:space="preserve">, </w:t>
      </w:r>
      <w:r w:rsidR="00982FD5">
        <w:t xml:space="preserve">including: </w:t>
      </w:r>
    </w:p>
    <w:p w14:paraId="7D8271D4" w14:textId="77777777" w:rsidR="00C550DB" w:rsidRPr="008155B6" w:rsidRDefault="00C550DB" w:rsidP="00332050">
      <w:pPr>
        <w:spacing w:after="0" w:line="240" w:lineRule="auto"/>
        <w:rPr>
          <w:rStyle w:val="Hyperlink"/>
          <w:b/>
          <w:bCs/>
          <w:color w:val="auto"/>
          <w:u w:val="none"/>
        </w:rPr>
      </w:pPr>
    </w:p>
    <w:p w14:paraId="5E4472B7" w14:textId="5F598FAA" w:rsidR="001E1EF0" w:rsidRDefault="001E1EF0" w:rsidP="00332050">
      <w:pPr>
        <w:spacing w:after="0" w:line="240" w:lineRule="auto"/>
      </w:pPr>
    </w:p>
    <w:p w14:paraId="3B4D0792" w14:textId="7EB030ED" w:rsidR="006D2A9E" w:rsidRDefault="00450C9D" w:rsidP="004A4905">
      <w:pPr>
        <w:pStyle w:val="CommentText"/>
        <w:numPr>
          <w:ilvl w:val="0"/>
          <w:numId w:val="33"/>
        </w:numPr>
      </w:pPr>
      <w:r w:rsidRPr="002C7470">
        <w:rPr>
          <w:b/>
          <w:bCs/>
          <w:sz w:val="22"/>
          <w:szCs w:val="22"/>
        </w:rPr>
        <w:t>Standard and guidance for archaeological excavation</w:t>
      </w:r>
      <w:r w:rsidR="00116ACC">
        <w:rPr>
          <w:rStyle w:val="FootnoteReference"/>
          <w:b/>
          <w:bCs/>
          <w:sz w:val="22"/>
          <w:szCs w:val="22"/>
        </w:rPr>
        <w:footnoteReference w:id="4"/>
      </w:r>
      <w:r>
        <w:br/>
      </w:r>
      <w:r w:rsidR="0018203D" w:rsidRPr="002C7470">
        <w:rPr>
          <w:b/>
          <w:bCs/>
          <w:sz w:val="22"/>
          <w:szCs w:val="22"/>
        </w:rPr>
        <w:t>3.2.13</w:t>
      </w:r>
      <w:r w:rsidR="0018203D">
        <w:rPr>
          <w:b/>
          <w:bCs/>
          <w:sz w:val="22"/>
          <w:szCs w:val="22"/>
        </w:rPr>
        <w:t xml:space="preserve"> </w:t>
      </w:r>
      <w:r w:rsidRPr="00450C9D">
        <w:rPr>
          <w:i/>
          <w:iCs/>
          <w:sz w:val="22"/>
          <w:szCs w:val="22"/>
        </w:rPr>
        <w:t xml:space="preserve">A WSI should set out how public benefits may be achieved by means of engagement, participation and/or dissemination of the results both during and after the project, as appropriate to the scale, </w:t>
      </w:r>
      <w:proofErr w:type="gramStart"/>
      <w:r w:rsidRPr="00450C9D">
        <w:rPr>
          <w:i/>
          <w:iCs/>
          <w:sz w:val="22"/>
          <w:szCs w:val="22"/>
        </w:rPr>
        <w:t>nature</w:t>
      </w:r>
      <w:proofErr w:type="gramEnd"/>
      <w:r w:rsidRPr="00450C9D">
        <w:rPr>
          <w:i/>
          <w:iCs/>
          <w:sz w:val="22"/>
          <w:szCs w:val="22"/>
        </w:rPr>
        <w:t xml:space="preserve"> and circumstances of the work. Health and safety issues, public </w:t>
      </w:r>
      <w:proofErr w:type="gramStart"/>
      <w:r w:rsidRPr="00450C9D">
        <w:rPr>
          <w:i/>
          <w:iCs/>
          <w:sz w:val="22"/>
          <w:szCs w:val="22"/>
        </w:rPr>
        <w:t>liability</w:t>
      </w:r>
      <w:proofErr w:type="gramEnd"/>
      <w:r w:rsidRPr="00450C9D">
        <w:rPr>
          <w:i/>
          <w:iCs/>
          <w:sz w:val="22"/>
          <w:szCs w:val="22"/>
        </w:rPr>
        <w:t xml:space="preserve"> and commercial confidentiality, while important considerations, should not be used as a barrier to public engagement without clear justification.</w:t>
      </w:r>
    </w:p>
    <w:p w14:paraId="335886F8" w14:textId="663EAC89" w:rsidR="00D112A8" w:rsidRDefault="00D112A8" w:rsidP="00332050">
      <w:pPr>
        <w:spacing w:after="0" w:line="240" w:lineRule="auto"/>
      </w:pPr>
    </w:p>
    <w:p w14:paraId="063B0873" w14:textId="77777777" w:rsidR="000E597E" w:rsidRDefault="00296DCA" w:rsidP="00F977F8">
      <w:pPr>
        <w:pStyle w:val="CommentText"/>
        <w:numPr>
          <w:ilvl w:val="0"/>
          <w:numId w:val="33"/>
        </w:numPr>
      </w:pPr>
      <w:r w:rsidRPr="0061070F">
        <w:rPr>
          <w:b/>
          <w:bCs/>
        </w:rPr>
        <w:t>Standard and guidance</w:t>
      </w:r>
      <w:r w:rsidR="00756CDE" w:rsidRPr="0061070F">
        <w:rPr>
          <w:b/>
          <w:bCs/>
        </w:rPr>
        <w:t xml:space="preserve"> for the s</w:t>
      </w:r>
      <w:r w:rsidR="00D112A8" w:rsidRPr="0061070F">
        <w:rPr>
          <w:b/>
          <w:bCs/>
        </w:rPr>
        <w:t>tewardship of the historic environment</w:t>
      </w:r>
      <w:r w:rsidR="00B3080A" w:rsidRPr="00296DCA">
        <w:rPr>
          <w:rStyle w:val="FootnoteReference"/>
        </w:rPr>
        <w:footnoteReference w:id="5"/>
      </w:r>
      <w:r w:rsidR="00D112A8" w:rsidRPr="00296DCA">
        <w:t xml:space="preserve">  </w:t>
      </w:r>
    </w:p>
    <w:p w14:paraId="6696FEF5" w14:textId="77777777" w:rsidR="00F977F8" w:rsidRPr="00C46885" w:rsidRDefault="000E597E" w:rsidP="00F977F8">
      <w:pPr>
        <w:pStyle w:val="CommentText"/>
        <w:ind w:left="709"/>
        <w:rPr>
          <w:sz w:val="22"/>
          <w:szCs w:val="22"/>
        </w:rPr>
      </w:pPr>
      <w:r w:rsidRPr="00F977F8">
        <w:rPr>
          <w:b/>
          <w:bCs/>
        </w:rPr>
        <w:t>S</w:t>
      </w:r>
      <w:r w:rsidRPr="00C46885">
        <w:rPr>
          <w:b/>
          <w:bCs/>
          <w:sz w:val="22"/>
          <w:szCs w:val="22"/>
        </w:rPr>
        <w:t xml:space="preserve">ection </w:t>
      </w:r>
      <w:r w:rsidR="004330E1" w:rsidRPr="00C46885">
        <w:rPr>
          <w:b/>
          <w:bCs/>
          <w:sz w:val="22"/>
          <w:szCs w:val="22"/>
        </w:rPr>
        <w:t>2 Benefiting – why are we conserving?</w:t>
      </w:r>
    </w:p>
    <w:p w14:paraId="1E8F71B3" w14:textId="4256162A" w:rsidR="00566144" w:rsidRPr="00C46885" w:rsidRDefault="00D4666A" w:rsidP="00F977F8">
      <w:pPr>
        <w:pStyle w:val="CommentText"/>
        <w:ind w:left="709"/>
        <w:rPr>
          <w:i/>
          <w:iCs/>
          <w:sz w:val="22"/>
          <w:szCs w:val="22"/>
        </w:rPr>
      </w:pPr>
      <w:r w:rsidRPr="00C46885">
        <w:rPr>
          <w:i/>
          <w:iCs/>
          <w:sz w:val="22"/>
          <w:szCs w:val="22"/>
        </w:rPr>
        <w:t xml:space="preserve">2.3 </w:t>
      </w:r>
      <w:r w:rsidR="00952E50" w:rsidRPr="00C46885">
        <w:rPr>
          <w:i/>
          <w:iCs/>
          <w:sz w:val="22"/>
          <w:szCs w:val="22"/>
        </w:rPr>
        <w:t xml:space="preserve">Social and community benefit Contrasts and continuities between past and present societies can invest historic assets and places with a significance that supports awareness of community and a sense of roots.  </w:t>
      </w:r>
    </w:p>
    <w:p w14:paraId="2B7A80BF" w14:textId="67D6F093" w:rsidR="008A1AB5" w:rsidRPr="00C46885" w:rsidRDefault="00F977F8" w:rsidP="00756CDE">
      <w:pPr>
        <w:pStyle w:val="CommentText"/>
        <w:ind w:left="709"/>
        <w:rPr>
          <w:sz w:val="22"/>
          <w:szCs w:val="22"/>
        </w:rPr>
      </w:pPr>
      <w:r w:rsidRPr="00C46885">
        <w:rPr>
          <w:sz w:val="22"/>
          <w:szCs w:val="22"/>
        </w:rPr>
        <w:lastRenderedPageBreak/>
        <w:t xml:space="preserve">And </w:t>
      </w:r>
      <w:r w:rsidR="005271D6" w:rsidRPr="00C46885">
        <w:rPr>
          <w:b/>
          <w:bCs/>
          <w:sz w:val="22"/>
          <w:szCs w:val="22"/>
        </w:rPr>
        <w:t xml:space="preserve">Definition. No. </w:t>
      </w:r>
      <w:r w:rsidR="00A8558D" w:rsidRPr="00C46885">
        <w:rPr>
          <w:b/>
          <w:bCs/>
          <w:sz w:val="22"/>
          <w:szCs w:val="22"/>
        </w:rPr>
        <w:t>6</w:t>
      </w:r>
      <w:r w:rsidR="00A8558D" w:rsidRPr="00C46885">
        <w:rPr>
          <w:sz w:val="22"/>
          <w:szCs w:val="22"/>
        </w:rPr>
        <w:t>.</w:t>
      </w:r>
      <w:r w:rsidR="005271D6" w:rsidRPr="00C46885">
        <w:rPr>
          <w:sz w:val="22"/>
          <w:szCs w:val="22"/>
        </w:rPr>
        <w:t xml:space="preserve">  </w:t>
      </w:r>
    </w:p>
    <w:p w14:paraId="46E9EDA3" w14:textId="15A9FB2D" w:rsidR="005271D6" w:rsidRPr="00C46885" w:rsidRDefault="005271D6" w:rsidP="00756CDE">
      <w:pPr>
        <w:pStyle w:val="CommentText"/>
        <w:ind w:left="709"/>
        <w:rPr>
          <w:i/>
          <w:iCs/>
          <w:sz w:val="22"/>
          <w:szCs w:val="22"/>
        </w:rPr>
      </w:pPr>
      <w:r w:rsidRPr="00C46885">
        <w:rPr>
          <w:i/>
          <w:iCs/>
          <w:sz w:val="22"/>
          <w:szCs w:val="22"/>
        </w:rPr>
        <w:t xml:space="preserve">Stewardship protects and enhances what is valued in inherited historic assets and places. It responds to the needs and perceptions of people today and seeks to have regard for the needs of those in the future. The stewardship role includes undertaking conservation management tasks, communicating the public value of the heritage, promoting community awareness of the historic </w:t>
      </w:r>
      <w:proofErr w:type="gramStart"/>
      <w:r w:rsidRPr="00C46885">
        <w:rPr>
          <w:i/>
          <w:iCs/>
          <w:sz w:val="22"/>
          <w:szCs w:val="22"/>
        </w:rPr>
        <w:t>environment</w:t>
      </w:r>
      <w:proofErr w:type="gramEnd"/>
      <w:r w:rsidRPr="00C46885">
        <w:rPr>
          <w:i/>
          <w:iCs/>
          <w:sz w:val="22"/>
          <w:szCs w:val="22"/>
        </w:rPr>
        <w:t xml:space="preserve"> and encouraging active engagement in protection and enhancement.</w:t>
      </w:r>
    </w:p>
    <w:p w14:paraId="262D132E" w14:textId="1D247579" w:rsidR="004862C4" w:rsidRPr="00C46885" w:rsidRDefault="004862C4" w:rsidP="004862C4">
      <w:pPr>
        <w:pStyle w:val="CommentText"/>
        <w:numPr>
          <w:ilvl w:val="0"/>
          <w:numId w:val="37"/>
        </w:numPr>
        <w:rPr>
          <w:b/>
          <w:bCs/>
          <w:sz w:val="22"/>
          <w:szCs w:val="22"/>
        </w:rPr>
      </w:pPr>
      <w:r w:rsidRPr="00C46885">
        <w:rPr>
          <w:b/>
          <w:bCs/>
          <w:sz w:val="22"/>
          <w:szCs w:val="22"/>
        </w:rPr>
        <w:t>Standards &amp; Guidance for archaeological advice by historic environment services</w:t>
      </w:r>
      <w:r w:rsidR="00DF4926" w:rsidRPr="00C46885">
        <w:rPr>
          <w:rStyle w:val="FootnoteReference"/>
          <w:b/>
          <w:bCs/>
          <w:sz w:val="22"/>
          <w:szCs w:val="22"/>
        </w:rPr>
        <w:footnoteReference w:id="6"/>
      </w:r>
      <w:r w:rsidRPr="00C46885">
        <w:rPr>
          <w:b/>
          <w:bCs/>
          <w:sz w:val="22"/>
          <w:szCs w:val="22"/>
        </w:rPr>
        <w:t xml:space="preserve"> </w:t>
      </w:r>
    </w:p>
    <w:p w14:paraId="613D512A" w14:textId="42B5274A" w:rsidR="00DF4926" w:rsidRPr="00C46885" w:rsidRDefault="00E967FE" w:rsidP="00E06197">
      <w:pPr>
        <w:pStyle w:val="CommentText"/>
        <w:ind w:left="709"/>
        <w:rPr>
          <w:sz w:val="22"/>
          <w:szCs w:val="22"/>
        </w:rPr>
      </w:pPr>
      <w:r w:rsidRPr="00C46885">
        <w:rPr>
          <w:sz w:val="22"/>
          <w:szCs w:val="22"/>
        </w:rPr>
        <w:t xml:space="preserve">This </w:t>
      </w:r>
      <w:r w:rsidR="004862C4" w:rsidRPr="00C46885">
        <w:rPr>
          <w:sz w:val="22"/>
          <w:szCs w:val="22"/>
        </w:rPr>
        <w:t xml:space="preserve">S&amp;G </w:t>
      </w:r>
      <w:r w:rsidR="004862C4" w:rsidRPr="00C46885">
        <w:rPr>
          <w:i/>
          <w:iCs/>
          <w:sz w:val="22"/>
          <w:szCs w:val="22"/>
        </w:rPr>
        <w:t xml:space="preserve">applies primarily to advice provided to or on behalf of a local authority, national park, charitable </w:t>
      </w:r>
      <w:proofErr w:type="gramStart"/>
      <w:r w:rsidR="004862C4" w:rsidRPr="00C46885">
        <w:rPr>
          <w:i/>
          <w:iCs/>
          <w:sz w:val="22"/>
          <w:szCs w:val="22"/>
        </w:rPr>
        <w:t>trust</w:t>
      </w:r>
      <w:proofErr w:type="gramEnd"/>
      <w:r w:rsidR="004862C4" w:rsidRPr="00C46885">
        <w:rPr>
          <w:i/>
          <w:iCs/>
          <w:sz w:val="22"/>
          <w:szCs w:val="22"/>
        </w:rPr>
        <w:t xml:space="preserve"> or other not-for-profit public body, but the principles also apply to advice provided by a national organisation or a commercial consultant</w:t>
      </w:r>
      <w:r w:rsidR="004862C4" w:rsidRPr="00C46885">
        <w:rPr>
          <w:sz w:val="22"/>
          <w:szCs w:val="22"/>
        </w:rPr>
        <w:t xml:space="preserve">. </w:t>
      </w:r>
    </w:p>
    <w:p w14:paraId="294E8711" w14:textId="2B1C34C7" w:rsidR="00D26F6A" w:rsidRPr="00C46885" w:rsidRDefault="00E06197" w:rsidP="00E06197">
      <w:pPr>
        <w:pStyle w:val="CommentText"/>
        <w:ind w:left="709"/>
        <w:rPr>
          <w:sz w:val="22"/>
          <w:szCs w:val="22"/>
        </w:rPr>
      </w:pPr>
      <w:r w:rsidRPr="00C46885">
        <w:rPr>
          <w:sz w:val="22"/>
          <w:szCs w:val="22"/>
        </w:rPr>
        <w:t xml:space="preserve">Section </w:t>
      </w:r>
      <w:proofErr w:type="gramStart"/>
      <w:r w:rsidR="00D26F6A" w:rsidRPr="00C46885">
        <w:rPr>
          <w:sz w:val="22"/>
          <w:szCs w:val="22"/>
        </w:rPr>
        <w:t>11  Public</w:t>
      </w:r>
      <w:proofErr w:type="gramEnd"/>
      <w:r w:rsidR="00D26F6A" w:rsidRPr="00C46885">
        <w:rPr>
          <w:sz w:val="22"/>
          <w:szCs w:val="22"/>
        </w:rPr>
        <w:t xml:space="preserve"> benefit </w:t>
      </w:r>
    </w:p>
    <w:p w14:paraId="44A06E51" w14:textId="271C1FAC" w:rsidR="00D26F6A" w:rsidRPr="00C46885" w:rsidRDefault="00FD3C3E" w:rsidP="00E06197">
      <w:pPr>
        <w:pStyle w:val="CommentText"/>
        <w:ind w:left="709"/>
        <w:rPr>
          <w:i/>
          <w:iCs/>
          <w:sz w:val="22"/>
          <w:szCs w:val="22"/>
        </w:rPr>
      </w:pPr>
      <w:r w:rsidRPr="00C46885">
        <w:rPr>
          <w:sz w:val="22"/>
          <w:szCs w:val="22"/>
        </w:rPr>
        <w:t xml:space="preserve">Including </w:t>
      </w:r>
      <w:r w:rsidR="00D26F6A" w:rsidRPr="00C46885">
        <w:rPr>
          <w:sz w:val="22"/>
          <w:szCs w:val="22"/>
        </w:rPr>
        <w:t xml:space="preserve">11.1 </w:t>
      </w:r>
      <w:r w:rsidR="00D26F6A" w:rsidRPr="00C46885">
        <w:rPr>
          <w:i/>
          <w:iCs/>
          <w:sz w:val="22"/>
          <w:szCs w:val="22"/>
        </w:rPr>
        <w:t xml:space="preserve">Advisors should seek to ensure that archaeological investigation is directed towards providing benefit to the public, whether directly through participation and engagement in the process or indirectly through the increase in knowledge that the results of investigation provide to the local and wider community. </w:t>
      </w:r>
    </w:p>
    <w:p w14:paraId="0D6DF8D0" w14:textId="371D0335" w:rsidR="00D112A8" w:rsidRDefault="00570A88" w:rsidP="00332050">
      <w:pPr>
        <w:spacing w:after="0" w:line="240" w:lineRule="auto"/>
      </w:pPr>
      <w:r w:rsidRPr="002771C4">
        <w:t>However, there is a</w:t>
      </w:r>
      <w:r>
        <w:t xml:space="preserve"> notable</w:t>
      </w:r>
      <w:r w:rsidRPr="002771C4">
        <w:t xml:space="preserve"> gap</w:t>
      </w:r>
      <w:r w:rsidR="00E5772C">
        <w:t xml:space="preserve"> in</w:t>
      </w:r>
      <w:r w:rsidR="00E06197">
        <w:t xml:space="preserve"> that there is no</w:t>
      </w:r>
      <w:r w:rsidRPr="002771C4">
        <w:t xml:space="preserve"> specific guidance on </w:t>
      </w:r>
      <w:r w:rsidR="007838C3">
        <w:t xml:space="preserve">how community engagement </w:t>
      </w:r>
      <w:r w:rsidR="00D01084">
        <w:t>can be delivered in practice through archaeology</w:t>
      </w:r>
      <w:r w:rsidRPr="002771C4">
        <w:t>.</w:t>
      </w:r>
    </w:p>
    <w:p w14:paraId="7F5062BB" w14:textId="77777777" w:rsidR="00046B4D" w:rsidRPr="002771C4" w:rsidRDefault="00046B4D" w:rsidP="00332050">
      <w:pPr>
        <w:spacing w:after="0" w:line="240" w:lineRule="auto"/>
      </w:pPr>
    </w:p>
    <w:p w14:paraId="0D2B69C8" w14:textId="155610FE" w:rsidR="001E1EF0" w:rsidRPr="002771C4" w:rsidRDefault="001E1EF0" w:rsidP="00332050">
      <w:pPr>
        <w:spacing w:after="0" w:line="240" w:lineRule="auto"/>
      </w:pPr>
      <w:r w:rsidRPr="002771C4">
        <w:t xml:space="preserve">There is also a particular need to provide better evaluation of impact of community engagement within </w:t>
      </w:r>
      <w:r w:rsidR="00C07445" w:rsidRPr="002771C4">
        <w:t xml:space="preserve">archaeological projects </w:t>
      </w:r>
      <w:r w:rsidR="00593BB7" w:rsidRPr="002771C4">
        <w:t xml:space="preserve">which will provide a baseline for the sector to move forward and deliver more </w:t>
      </w:r>
      <w:r w:rsidR="009C2195" w:rsidRPr="002771C4">
        <w:t xml:space="preserve">inclusive </w:t>
      </w:r>
      <w:r w:rsidR="00593BB7" w:rsidRPr="002771C4">
        <w:t>opportunities</w:t>
      </w:r>
      <w:r w:rsidR="009C2195" w:rsidRPr="002771C4">
        <w:t xml:space="preserve"> to a wider </w:t>
      </w:r>
      <w:r w:rsidR="00CE604C" w:rsidRPr="002771C4">
        <w:t>audience</w:t>
      </w:r>
      <w:r w:rsidR="00593BB7" w:rsidRPr="002771C4">
        <w:t>.</w:t>
      </w:r>
    </w:p>
    <w:p w14:paraId="7D60405D" w14:textId="36238411" w:rsidR="000A1447" w:rsidRDefault="007207E8" w:rsidP="00332050">
      <w:pPr>
        <w:spacing w:line="240" w:lineRule="auto"/>
      </w:pPr>
      <w:r>
        <w:br/>
      </w:r>
      <w:r w:rsidR="00067CAE" w:rsidRPr="002771C4">
        <w:t xml:space="preserve">This project proposal has been put together by </w:t>
      </w:r>
      <w:r w:rsidR="00847DB9" w:rsidRPr="002771C4">
        <w:t xml:space="preserve">a </w:t>
      </w:r>
      <w:r w:rsidRPr="002771C4">
        <w:t>subgroup</w:t>
      </w:r>
      <w:r w:rsidR="00847DB9" w:rsidRPr="002771C4">
        <w:t xml:space="preserve"> of the </w:t>
      </w:r>
      <w:r w:rsidR="00067CAE" w:rsidRPr="002771C4">
        <w:t xml:space="preserve">CIfA </w:t>
      </w:r>
      <w:r w:rsidR="00BC5159" w:rsidRPr="002771C4">
        <w:t xml:space="preserve">V&amp;C </w:t>
      </w:r>
      <w:r w:rsidR="0031158C" w:rsidRPr="002771C4">
        <w:t xml:space="preserve">SIG </w:t>
      </w:r>
      <w:r w:rsidR="00C41E6E">
        <w:t xml:space="preserve">following </w:t>
      </w:r>
      <w:r w:rsidR="00067CAE" w:rsidRPr="002771C4">
        <w:t>a meeting hosted by the C</w:t>
      </w:r>
      <w:r w:rsidR="00FD0C51" w:rsidRPr="002771C4">
        <w:t>ouncil for British Archaeology (C</w:t>
      </w:r>
      <w:r w:rsidR="00067CAE" w:rsidRPr="002771C4">
        <w:t>BA</w:t>
      </w:r>
      <w:r w:rsidR="00FD0C51" w:rsidRPr="002771C4">
        <w:t>)</w:t>
      </w:r>
      <w:r w:rsidR="00067CAE" w:rsidRPr="002771C4">
        <w:t xml:space="preserve"> in York on </w:t>
      </w:r>
      <w:r>
        <w:t xml:space="preserve">10 </w:t>
      </w:r>
      <w:r w:rsidR="00067CAE" w:rsidRPr="002771C4">
        <w:t>July 2019.</w:t>
      </w:r>
      <w:r w:rsidR="00A13D00" w:rsidRPr="002771C4">
        <w:t xml:space="preserve"> This workshop included</w:t>
      </w:r>
      <w:r w:rsidR="00B57929" w:rsidRPr="002771C4">
        <w:t xml:space="preserve"> representatives of the CBA, CIfA, Historic Environment Scotland, Archaeology Scotland and other community projects in England, </w:t>
      </w:r>
      <w:r w:rsidRPr="002771C4">
        <w:t>Scotland,</w:t>
      </w:r>
      <w:r w:rsidR="00B57929" w:rsidRPr="002771C4">
        <w:t xml:space="preserve"> and Wales. One of the main discussion points was the need for a CIfA </w:t>
      </w:r>
      <w:r w:rsidR="00E32016" w:rsidRPr="002771C4">
        <w:t>S</w:t>
      </w:r>
      <w:r w:rsidR="00B57929" w:rsidRPr="002771C4">
        <w:t>tandard with accompany</w:t>
      </w:r>
      <w:r w:rsidR="00E66BA2">
        <w:t>ing</w:t>
      </w:r>
      <w:r w:rsidR="00B57929" w:rsidRPr="002771C4">
        <w:t xml:space="preserve"> guidance for community archaeology and one of the main recommendations from the group was to put together this project proposal.</w:t>
      </w:r>
      <w:r w:rsidR="00E6562F">
        <w:t xml:space="preserve"> </w:t>
      </w:r>
    </w:p>
    <w:p w14:paraId="41A61BB6" w14:textId="37845AD2" w:rsidR="00E32016" w:rsidRPr="002771C4" w:rsidRDefault="00FF1E54" w:rsidP="00332050">
      <w:pPr>
        <w:spacing w:line="240" w:lineRule="auto"/>
      </w:pPr>
      <w:r>
        <w:t>It was originally intended to</w:t>
      </w:r>
      <w:r w:rsidR="00B8225D">
        <w:t xml:space="preserve"> propose the</w:t>
      </w:r>
      <w:r>
        <w:t xml:space="preserve"> </w:t>
      </w:r>
      <w:r w:rsidR="00B8225D">
        <w:t>development of</w:t>
      </w:r>
      <w:r>
        <w:t xml:space="preserve"> a new Standard and</w:t>
      </w:r>
      <w:r w:rsidR="00B8225D">
        <w:t xml:space="preserve"> guid</w:t>
      </w:r>
      <w:r w:rsidR="00097E50">
        <w:t xml:space="preserve">ance </w:t>
      </w:r>
      <w:r>
        <w:t xml:space="preserve">document </w:t>
      </w:r>
      <w:r w:rsidR="00097E50">
        <w:t xml:space="preserve">specifically </w:t>
      </w:r>
      <w:r>
        <w:t>focused on community engagement</w:t>
      </w:r>
      <w:r w:rsidR="00820147">
        <w:t xml:space="preserve">. However, </w:t>
      </w:r>
      <w:r w:rsidR="000A1447">
        <w:t xml:space="preserve">in line with CIfA’s </w:t>
      </w:r>
      <w:r w:rsidR="00E2703E">
        <w:t xml:space="preserve">current reformat and update of its suite of Standards and guidance </w:t>
      </w:r>
      <w:proofErr w:type="gramStart"/>
      <w:r w:rsidR="00E2703E">
        <w:t xml:space="preserve">documents </w:t>
      </w:r>
      <w:r w:rsidR="005E7EFF">
        <w:t>,</w:t>
      </w:r>
      <w:proofErr w:type="gramEnd"/>
      <w:r w:rsidR="005E7EFF">
        <w:t xml:space="preserve"> i</w:t>
      </w:r>
      <w:r w:rsidRPr="002771C4">
        <w:t xml:space="preserve">t was decided </w:t>
      </w:r>
      <w:r w:rsidR="00820147">
        <w:t xml:space="preserve">that </w:t>
      </w:r>
      <w:r w:rsidR="00276788">
        <w:t xml:space="preserve">it would be more effective </w:t>
      </w:r>
      <w:r w:rsidR="00FD689C">
        <w:t>to</w:t>
      </w:r>
      <w:r w:rsidR="00820147">
        <w:t xml:space="preserve"> </w:t>
      </w:r>
      <w:r w:rsidRPr="002771C4">
        <w:t>identify and update relevant sections in t</w:t>
      </w:r>
      <w:r>
        <w:t>he current</w:t>
      </w:r>
      <w:r w:rsidR="00FD689C">
        <w:t xml:space="preserve"> Standard and guidance</w:t>
      </w:r>
      <w:r>
        <w:t xml:space="preserve"> documents </w:t>
      </w:r>
      <w:r w:rsidR="00A3462F">
        <w:t>,</w:t>
      </w:r>
      <w:r>
        <w:t xml:space="preserve"> </w:t>
      </w:r>
      <w:r w:rsidRPr="002771C4">
        <w:t>and</w:t>
      </w:r>
      <w:r w:rsidR="00254879">
        <w:t xml:space="preserve"> then</w:t>
      </w:r>
      <w:r w:rsidRPr="002771C4">
        <w:t xml:space="preserve"> to </w:t>
      </w:r>
      <w:r w:rsidR="00D75350">
        <w:t xml:space="preserve">focus on producing </w:t>
      </w:r>
      <w:r w:rsidRPr="002771C4">
        <w:t xml:space="preserve">a richer suite of guidance </w:t>
      </w:r>
      <w:r>
        <w:t>presented in a Toolkit</w:t>
      </w:r>
      <w:r w:rsidR="004E5174">
        <w:t xml:space="preserve"> to support these updates</w:t>
      </w:r>
      <w:r w:rsidR="00E32016" w:rsidRPr="002771C4">
        <w:t>.</w:t>
      </w:r>
    </w:p>
    <w:p w14:paraId="580EACA1" w14:textId="412AE154" w:rsidR="00B749EA" w:rsidRPr="002771C4" w:rsidRDefault="00B749EA" w:rsidP="00332050">
      <w:pPr>
        <w:pStyle w:val="CommentText"/>
        <w:rPr>
          <w:sz w:val="22"/>
          <w:szCs w:val="22"/>
        </w:rPr>
      </w:pPr>
      <w:r w:rsidRPr="002771C4">
        <w:rPr>
          <w:sz w:val="22"/>
          <w:szCs w:val="22"/>
        </w:rPr>
        <w:t xml:space="preserve">The project will complement the existing </w:t>
      </w:r>
      <w:r w:rsidR="00E51F3E">
        <w:rPr>
          <w:sz w:val="22"/>
          <w:szCs w:val="22"/>
        </w:rPr>
        <w:t>voluntary and community</w:t>
      </w:r>
      <w:r w:rsidRPr="002771C4">
        <w:rPr>
          <w:sz w:val="22"/>
          <w:szCs w:val="22"/>
        </w:rPr>
        <w:t xml:space="preserve"> </w:t>
      </w:r>
      <w:r w:rsidR="00A45623">
        <w:rPr>
          <w:sz w:val="22"/>
          <w:szCs w:val="22"/>
        </w:rPr>
        <w:t xml:space="preserve">specialist </w:t>
      </w:r>
      <w:hyperlink r:id="rId13" w:history="1">
        <w:r w:rsidR="00BC5159" w:rsidRPr="009A7D41">
          <w:rPr>
            <w:rStyle w:val="Hyperlink"/>
            <w:sz w:val="22"/>
            <w:szCs w:val="22"/>
          </w:rPr>
          <w:t>competenc</w:t>
        </w:r>
        <w:r w:rsidR="00A45623">
          <w:rPr>
            <w:rStyle w:val="Hyperlink"/>
            <w:sz w:val="22"/>
            <w:szCs w:val="22"/>
          </w:rPr>
          <w:t>e</w:t>
        </w:r>
        <w:r w:rsidR="00BC5159" w:rsidRPr="009A7D41">
          <w:rPr>
            <w:rStyle w:val="Hyperlink"/>
            <w:sz w:val="22"/>
            <w:szCs w:val="22"/>
          </w:rPr>
          <w:t xml:space="preserve"> </w:t>
        </w:r>
        <w:r w:rsidRPr="009A7D41">
          <w:rPr>
            <w:rStyle w:val="Hyperlink"/>
            <w:sz w:val="22"/>
            <w:szCs w:val="22"/>
          </w:rPr>
          <w:t>matrix</w:t>
        </w:r>
      </w:hyperlink>
      <w:r w:rsidRPr="002771C4">
        <w:rPr>
          <w:sz w:val="22"/>
          <w:szCs w:val="22"/>
        </w:rPr>
        <w:t xml:space="preserve"> which provides a structure for </w:t>
      </w:r>
      <w:r w:rsidR="00E66BA2">
        <w:rPr>
          <w:sz w:val="22"/>
          <w:szCs w:val="22"/>
        </w:rPr>
        <w:t>professional archaeologists</w:t>
      </w:r>
      <w:r w:rsidR="00E66BA2" w:rsidRPr="002771C4">
        <w:rPr>
          <w:sz w:val="22"/>
          <w:szCs w:val="22"/>
        </w:rPr>
        <w:t xml:space="preserve"> </w:t>
      </w:r>
      <w:r w:rsidRPr="002771C4">
        <w:rPr>
          <w:sz w:val="22"/>
          <w:szCs w:val="22"/>
        </w:rPr>
        <w:t xml:space="preserve">to demonstrate and advance skills in </w:t>
      </w:r>
      <w:r w:rsidR="00E32016" w:rsidRPr="002771C4">
        <w:rPr>
          <w:sz w:val="22"/>
          <w:szCs w:val="22"/>
        </w:rPr>
        <w:t xml:space="preserve">their </w:t>
      </w:r>
      <w:r w:rsidRPr="002771C4">
        <w:rPr>
          <w:sz w:val="22"/>
          <w:szCs w:val="22"/>
        </w:rPr>
        <w:t>specialist area of community archaeology</w:t>
      </w:r>
      <w:r w:rsidR="00220B52" w:rsidRPr="002771C4">
        <w:rPr>
          <w:sz w:val="22"/>
          <w:szCs w:val="22"/>
        </w:rPr>
        <w:t>.</w:t>
      </w:r>
    </w:p>
    <w:p w14:paraId="5D1D772B" w14:textId="5D373CCD" w:rsidR="00CB268C" w:rsidRPr="00C46885" w:rsidRDefault="0031158C" w:rsidP="00A7037A">
      <w:pPr>
        <w:spacing w:line="240" w:lineRule="auto"/>
      </w:pPr>
      <w:r w:rsidRPr="002771C4">
        <w:lastRenderedPageBreak/>
        <w:t>The</w:t>
      </w:r>
      <w:r w:rsidR="00A7037A">
        <w:t xml:space="preserve"> subgroup</w:t>
      </w:r>
      <w:r w:rsidRPr="002771C4">
        <w:t xml:space="preserve"> of the</w:t>
      </w:r>
      <w:r w:rsidR="00A7037A">
        <w:t xml:space="preserve"> CIfA V&amp;C</w:t>
      </w:r>
      <w:r w:rsidRPr="002771C4">
        <w:t xml:space="preserve"> SIG will support </w:t>
      </w:r>
      <w:r w:rsidR="000F74C9" w:rsidRPr="002771C4">
        <w:t xml:space="preserve">and contribute to </w:t>
      </w:r>
      <w:r w:rsidRPr="000070CC">
        <w:t>this project forming part of its advisory board</w:t>
      </w:r>
      <w:r w:rsidR="000F74C9" w:rsidRPr="000070CC">
        <w:t>.</w:t>
      </w:r>
    </w:p>
    <w:p w14:paraId="6F07AEDE" w14:textId="08F9401E" w:rsidR="001C0148" w:rsidRPr="00A7037A" w:rsidRDefault="001C0148" w:rsidP="00A7037A">
      <w:pPr>
        <w:spacing w:line="240" w:lineRule="auto"/>
        <w:rPr>
          <w:b/>
        </w:rPr>
      </w:pPr>
      <w:r w:rsidRPr="00A7037A">
        <w:rPr>
          <w:b/>
        </w:rPr>
        <w:t>Aims</w:t>
      </w:r>
    </w:p>
    <w:p w14:paraId="7F36811E" w14:textId="5B6E4B10" w:rsidR="001C0148" w:rsidRPr="002771C4" w:rsidRDefault="001C0148" w:rsidP="00332050">
      <w:pPr>
        <w:spacing w:line="240" w:lineRule="auto"/>
      </w:pPr>
      <w:r w:rsidRPr="002771C4">
        <w:t>The main aims of the project are:</w:t>
      </w:r>
    </w:p>
    <w:p w14:paraId="69045654" w14:textId="50692EB8" w:rsidR="001C0148" w:rsidRPr="002771C4" w:rsidRDefault="001C0148" w:rsidP="00332050">
      <w:pPr>
        <w:numPr>
          <w:ilvl w:val="0"/>
          <w:numId w:val="3"/>
        </w:numPr>
        <w:pBdr>
          <w:top w:val="nil"/>
          <w:left w:val="nil"/>
          <w:bottom w:val="nil"/>
          <w:right w:val="nil"/>
          <w:between w:val="nil"/>
        </w:pBdr>
        <w:spacing w:line="240" w:lineRule="auto"/>
      </w:pPr>
      <w:r w:rsidRPr="002771C4">
        <w:rPr>
          <w:color w:val="000000"/>
        </w:rPr>
        <w:t>To highlight and promote the value</w:t>
      </w:r>
      <w:r w:rsidR="00C85B49">
        <w:rPr>
          <w:color w:val="000000"/>
        </w:rPr>
        <w:t xml:space="preserve"> and role</w:t>
      </w:r>
      <w:r w:rsidRPr="002771C4">
        <w:rPr>
          <w:color w:val="000000"/>
        </w:rPr>
        <w:t xml:space="preserve"> that community engagement in archaeology </w:t>
      </w:r>
      <w:r w:rsidR="00C85B49">
        <w:rPr>
          <w:color w:val="000000"/>
        </w:rPr>
        <w:t>can play</w:t>
      </w:r>
      <w:r w:rsidR="00C80153" w:rsidRPr="002771C4">
        <w:rPr>
          <w:color w:val="000000"/>
        </w:rPr>
        <w:t xml:space="preserve"> to support the delivery of</w:t>
      </w:r>
      <w:r w:rsidR="00597B22">
        <w:rPr>
          <w:color w:val="000000"/>
        </w:rPr>
        <w:t xml:space="preserve"> inclusive</w:t>
      </w:r>
      <w:r w:rsidR="00340940">
        <w:rPr>
          <w:color w:val="000000"/>
        </w:rPr>
        <w:t xml:space="preserve"> and meaningful</w:t>
      </w:r>
      <w:r w:rsidR="00C80153" w:rsidRPr="002771C4">
        <w:rPr>
          <w:color w:val="000000"/>
        </w:rPr>
        <w:t xml:space="preserve"> public benefit</w:t>
      </w:r>
      <w:r w:rsidR="006D1C4F" w:rsidRPr="002771C4">
        <w:rPr>
          <w:color w:val="000000"/>
        </w:rPr>
        <w:t xml:space="preserve">, </w:t>
      </w:r>
      <w:r w:rsidRPr="002771C4">
        <w:rPr>
          <w:color w:val="000000"/>
        </w:rPr>
        <w:t xml:space="preserve">so that it </w:t>
      </w:r>
      <w:r w:rsidR="006D1C4F" w:rsidRPr="002771C4">
        <w:rPr>
          <w:color w:val="000000"/>
        </w:rPr>
        <w:t>is</w:t>
      </w:r>
      <w:r w:rsidRPr="002771C4">
        <w:rPr>
          <w:color w:val="000000"/>
        </w:rPr>
        <w:t xml:space="preserve"> </w:t>
      </w:r>
      <w:r w:rsidR="00912B34">
        <w:rPr>
          <w:color w:val="000000"/>
        </w:rPr>
        <w:t xml:space="preserve">considered </w:t>
      </w:r>
      <w:r w:rsidR="00E55E81">
        <w:rPr>
          <w:color w:val="000000"/>
        </w:rPr>
        <w:t xml:space="preserve">as </w:t>
      </w:r>
      <w:r w:rsidR="00912B34">
        <w:rPr>
          <w:color w:val="000000"/>
        </w:rPr>
        <w:t xml:space="preserve">an ethos and is </w:t>
      </w:r>
      <w:r w:rsidRPr="002771C4">
        <w:rPr>
          <w:color w:val="000000"/>
        </w:rPr>
        <w:t xml:space="preserve">embedded in practice </w:t>
      </w:r>
      <w:r w:rsidR="00F70A5C" w:rsidRPr="002771C4">
        <w:rPr>
          <w:color w:val="000000"/>
        </w:rPr>
        <w:t>rather than being considered an “add-on</w:t>
      </w:r>
      <w:r w:rsidR="00912B34" w:rsidRPr="002771C4">
        <w:rPr>
          <w:color w:val="000000"/>
        </w:rPr>
        <w:t>”</w:t>
      </w:r>
      <w:r w:rsidR="00912B34">
        <w:rPr>
          <w:color w:val="000000"/>
        </w:rPr>
        <w:t xml:space="preserve"> – this is</w:t>
      </w:r>
      <w:r w:rsidR="00912B34" w:rsidRPr="002771C4">
        <w:rPr>
          <w:color w:val="000000"/>
        </w:rPr>
        <w:t xml:space="preserve"> </w:t>
      </w:r>
      <w:r w:rsidR="00DB1FC1" w:rsidRPr="002771C4">
        <w:rPr>
          <w:color w:val="000000"/>
        </w:rPr>
        <w:t xml:space="preserve">with </w:t>
      </w:r>
      <w:r w:rsidR="00AB1A71" w:rsidRPr="002771C4">
        <w:rPr>
          <w:color w:val="000000"/>
        </w:rPr>
        <w:t>reference</w:t>
      </w:r>
      <w:r w:rsidR="00DB1FC1" w:rsidRPr="002771C4">
        <w:rPr>
          <w:color w:val="000000"/>
        </w:rPr>
        <w:t xml:space="preserve"> to work undertaken within the context of the planning system</w:t>
      </w:r>
      <w:r w:rsidR="002C1627" w:rsidRPr="002771C4">
        <w:rPr>
          <w:color w:val="000000"/>
        </w:rPr>
        <w:t>.</w:t>
      </w:r>
    </w:p>
    <w:p w14:paraId="4C958C35" w14:textId="3E5CA560" w:rsidR="00490874" w:rsidRPr="002771C4" w:rsidRDefault="001C0148" w:rsidP="00332050">
      <w:pPr>
        <w:numPr>
          <w:ilvl w:val="0"/>
          <w:numId w:val="3"/>
        </w:numPr>
        <w:pBdr>
          <w:top w:val="nil"/>
          <w:left w:val="nil"/>
          <w:bottom w:val="nil"/>
          <w:right w:val="nil"/>
          <w:between w:val="nil"/>
        </w:pBdr>
        <w:spacing w:line="240" w:lineRule="auto"/>
      </w:pPr>
      <w:r w:rsidRPr="002771C4">
        <w:rPr>
          <w:color w:val="000000"/>
        </w:rPr>
        <w:t xml:space="preserve">To improve the </w:t>
      </w:r>
      <w:r w:rsidR="007773E8">
        <w:rPr>
          <w:color w:val="000000"/>
        </w:rPr>
        <w:t xml:space="preserve">commissioning, </w:t>
      </w:r>
      <w:r w:rsidRPr="002771C4">
        <w:rPr>
          <w:color w:val="000000"/>
        </w:rPr>
        <w:t xml:space="preserve">planning, </w:t>
      </w:r>
      <w:r w:rsidR="00E640A7" w:rsidRPr="002771C4">
        <w:rPr>
          <w:color w:val="000000"/>
        </w:rPr>
        <w:t>management,</w:t>
      </w:r>
      <w:r w:rsidRPr="002771C4">
        <w:rPr>
          <w:color w:val="000000"/>
        </w:rPr>
        <w:t xml:space="preserve"> and delivery of community</w:t>
      </w:r>
      <w:r w:rsidR="007773E8" w:rsidRPr="007773E8">
        <w:t xml:space="preserve"> </w:t>
      </w:r>
      <w:r w:rsidR="007773E8" w:rsidRPr="002771C4">
        <w:t>engagement</w:t>
      </w:r>
      <w:r w:rsidR="007773E8" w:rsidRPr="00332050">
        <w:rPr>
          <w:rStyle w:val="CommentReference"/>
          <w:sz w:val="22"/>
          <w:szCs w:val="22"/>
        </w:rPr>
        <w:t xml:space="preserve"> </w:t>
      </w:r>
      <w:r w:rsidR="007773E8">
        <w:rPr>
          <w:rStyle w:val="CommentReference"/>
          <w:sz w:val="22"/>
          <w:szCs w:val="22"/>
        </w:rPr>
        <w:t>undertaken by professional archaeologists</w:t>
      </w:r>
      <w:r w:rsidRPr="002771C4">
        <w:rPr>
          <w:color w:val="000000"/>
        </w:rPr>
        <w:t xml:space="preserve"> so that </w:t>
      </w:r>
      <w:r w:rsidR="002F198B">
        <w:rPr>
          <w:color w:val="000000"/>
        </w:rPr>
        <w:t xml:space="preserve">it </w:t>
      </w:r>
      <w:r w:rsidRPr="002771C4">
        <w:rPr>
          <w:color w:val="000000"/>
        </w:rPr>
        <w:t>support</w:t>
      </w:r>
      <w:r w:rsidR="002F198B">
        <w:rPr>
          <w:color w:val="000000"/>
        </w:rPr>
        <w:t>s</w:t>
      </w:r>
      <w:r w:rsidRPr="002771C4">
        <w:rPr>
          <w:color w:val="000000"/>
        </w:rPr>
        <w:t xml:space="preserve"> in a meaningful way the deliver</w:t>
      </w:r>
      <w:r w:rsidR="00E640A7">
        <w:rPr>
          <w:color w:val="000000"/>
        </w:rPr>
        <w:t>y</w:t>
      </w:r>
      <w:r w:rsidRPr="002771C4">
        <w:rPr>
          <w:color w:val="000000"/>
        </w:rPr>
        <w:t xml:space="preserve"> of public benefit</w:t>
      </w:r>
      <w:r w:rsidR="00490874" w:rsidRPr="002771C4">
        <w:rPr>
          <w:color w:val="000000"/>
        </w:rPr>
        <w:t>.</w:t>
      </w:r>
      <w:r w:rsidRPr="002771C4">
        <w:rPr>
          <w:color w:val="000000"/>
        </w:rPr>
        <w:t xml:space="preserve"> </w:t>
      </w:r>
    </w:p>
    <w:p w14:paraId="4B3E0C47" w14:textId="3389E7FC" w:rsidR="001C0148" w:rsidRPr="002771C4" w:rsidRDefault="001C0148" w:rsidP="00332050">
      <w:pPr>
        <w:spacing w:line="240" w:lineRule="auto"/>
        <w:rPr>
          <w:b/>
          <w:bCs/>
        </w:rPr>
      </w:pPr>
      <w:r w:rsidRPr="002771C4">
        <w:rPr>
          <w:b/>
          <w:bCs/>
        </w:rPr>
        <w:t>Objectives</w:t>
      </w:r>
    </w:p>
    <w:p w14:paraId="2669CEEB" w14:textId="09E705E3" w:rsidR="001C0148" w:rsidRDefault="00490874" w:rsidP="00332050">
      <w:pPr>
        <w:spacing w:line="240" w:lineRule="auto"/>
        <w:ind w:left="410"/>
      </w:pPr>
      <w:r w:rsidRPr="002771C4">
        <w:t>This will be achieved through:</w:t>
      </w:r>
    </w:p>
    <w:p w14:paraId="035282C2" w14:textId="77777777" w:rsidR="007F29A6" w:rsidRDefault="007F29A6" w:rsidP="007F29A6">
      <w:pPr>
        <w:numPr>
          <w:ilvl w:val="0"/>
          <w:numId w:val="39"/>
        </w:numPr>
        <w:spacing w:after="0" w:line="240" w:lineRule="auto"/>
        <w:rPr>
          <w:rFonts w:eastAsia="Times New Roman"/>
          <w:color w:val="000000"/>
        </w:rPr>
      </w:pPr>
      <w:r>
        <w:rPr>
          <w:rFonts w:eastAsia="Times New Roman"/>
          <w:color w:val="000000"/>
        </w:rPr>
        <w:t>Creating/collating a suite of comprehensive guidance that forms part of the new series of CIfA Toolkits. This proposed Toolkit will include as follows:</w:t>
      </w:r>
    </w:p>
    <w:p w14:paraId="0F6F105D" w14:textId="77777777" w:rsidR="007F29A6" w:rsidRDefault="007F29A6" w:rsidP="007F29A6">
      <w:pPr>
        <w:numPr>
          <w:ilvl w:val="0"/>
          <w:numId w:val="40"/>
        </w:numPr>
        <w:spacing w:after="0" w:line="240" w:lineRule="auto"/>
        <w:rPr>
          <w:rFonts w:eastAsia="Times New Roman"/>
          <w:color w:val="000000"/>
        </w:rPr>
      </w:pPr>
      <w:r>
        <w:rPr>
          <w:rFonts w:eastAsia="Times New Roman"/>
          <w:color w:val="000000"/>
        </w:rPr>
        <w:t xml:space="preserve">The recognition of the importance of inclusivity, diversity, </w:t>
      </w:r>
      <w:proofErr w:type="gramStart"/>
      <w:r>
        <w:rPr>
          <w:rFonts w:eastAsia="Times New Roman"/>
          <w:color w:val="000000"/>
        </w:rPr>
        <w:t>equality</w:t>
      </w:r>
      <w:proofErr w:type="gramEnd"/>
      <w:r>
        <w:rPr>
          <w:rFonts w:eastAsia="Times New Roman"/>
          <w:color w:val="000000"/>
        </w:rPr>
        <w:t xml:space="preserve"> and wellbeing in all aspects of community engagement, supporting the fact that the historic environment should be accessible to all and add value to society. </w:t>
      </w:r>
    </w:p>
    <w:p w14:paraId="32D388FE" w14:textId="77777777" w:rsidR="007F29A6" w:rsidRDefault="007F29A6" w:rsidP="007F29A6">
      <w:pPr>
        <w:numPr>
          <w:ilvl w:val="0"/>
          <w:numId w:val="40"/>
        </w:numPr>
        <w:spacing w:after="0" w:line="240" w:lineRule="auto"/>
        <w:rPr>
          <w:rFonts w:eastAsia="Times New Roman"/>
          <w:color w:val="000000"/>
        </w:rPr>
      </w:pPr>
      <w:r>
        <w:rPr>
          <w:rFonts w:eastAsia="Times New Roman"/>
          <w:color w:val="000000"/>
        </w:rPr>
        <w:t>The identification of existing case studies and/or the development of new case studies, where necessary.  These will showcase examples of community engagement on various types of projects from planning led place making to wellbeing projects. The CIfA public benefit webpages, which will include case studies that can be signposted too, are currently in preparation and will be launched in 2022 so will fit well with the timing of this project. The need for new case studies will be identified and developed by the appointed consultant if necessary.</w:t>
      </w:r>
    </w:p>
    <w:p w14:paraId="783B5482" w14:textId="77777777" w:rsidR="007F29A6" w:rsidRDefault="007F29A6" w:rsidP="007F29A6">
      <w:pPr>
        <w:pStyle w:val="ListParagraph"/>
        <w:numPr>
          <w:ilvl w:val="0"/>
          <w:numId w:val="40"/>
        </w:numPr>
        <w:spacing w:after="0" w:line="240" w:lineRule="auto"/>
        <w:rPr>
          <w:rFonts w:eastAsia="Times New Roman"/>
          <w:color w:val="000000"/>
        </w:rPr>
      </w:pPr>
      <w:r>
        <w:rPr>
          <w:rFonts w:eastAsia="Times New Roman"/>
          <w:color w:val="000000"/>
        </w:rPr>
        <w:t>List of good practice guidance and other relevant resources</w:t>
      </w:r>
    </w:p>
    <w:p w14:paraId="1725F012" w14:textId="77777777" w:rsidR="007F29A6" w:rsidRDefault="007F29A6" w:rsidP="007F29A6">
      <w:pPr>
        <w:pStyle w:val="ListParagraph"/>
        <w:numPr>
          <w:ilvl w:val="0"/>
          <w:numId w:val="40"/>
        </w:numPr>
        <w:spacing w:after="0" w:line="240" w:lineRule="auto"/>
        <w:rPr>
          <w:rFonts w:eastAsia="Times New Roman"/>
          <w:color w:val="000000"/>
        </w:rPr>
      </w:pPr>
      <w:r>
        <w:rPr>
          <w:rFonts w:eastAsia="Times New Roman"/>
          <w:color w:val="000000"/>
        </w:rPr>
        <w:t>A check list that can be used to help develop the community engagement elements of projects, how to identify and engage with new communities and how to ensure that inclusivity remains central to engagement</w:t>
      </w:r>
    </w:p>
    <w:p w14:paraId="7ED981D2" w14:textId="3EA3EA2E" w:rsidR="007F29A6" w:rsidRPr="00B40989" w:rsidRDefault="007F29A6" w:rsidP="00B40989">
      <w:pPr>
        <w:numPr>
          <w:ilvl w:val="0"/>
          <w:numId w:val="40"/>
        </w:numPr>
        <w:spacing w:after="0" w:line="240" w:lineRule="auto"/>
        <w:rPr>
          <w:rFonts w:eastAsia="Times New Roman"/>
          <w:color w:val="000000"/>
        </w:rPr>
      </w:pPr>
      <w:r>
        <w:rPr>
          <w:rFonts w:eastAsia="Times New Roman"/>
        </w:rPr>
        <w:t>A focus on evaluation and assessing the impact of community engagement</w:t>
      </w:r>
    </w:p>
    <w:p w14:paraId="6D3EABCD" w14:textId="77777777" w:rsidR="008D1F2C" w:rsidRPr="002771C4" w:rsidRDefault="008D1F2C" w:rsidP="00332050">
      <w:pPr>
        <w:pBdr>
          <w:top w:val="nil"/>
          <w:left w:val="nil"/>
          <w:bottom w:val="nil"/>
          <w:right w:val="nil"/>
          <w:between w:val="nil"/>
        </w:pBdr>
        <w:spacing w:after="0" w:line="240" w:lineRule="auto"/>
        <w:ind w:left="1750"/>
        <w:rPr>
          <w:color w:val="000000"/>
        </w:rPr>
      </w:pPr>
    </w:p>
    <w:p w14:paraId="00066DB2" w14:textId="524A38A1" w:rsidR="001C0148" w:rsidRPr="002771C4" w:rsidRDefault="00BA730A" w:rsidP="00332050">
      <w:pPr>
        <w:numPr>
          <w:ilvl w:val="0"/>
          <w:numId w:val="5"/>
        </w:numPr>
        <w:pBdr>
          <w:top w:val="nil"/>
          <w:left w:val="nil"/>
          <w:bottom w:val="nil"/>
          <w:right w:val="nil"/>
          <w:between w:val="nil"/>
        </w:pBdr>
        <w:spacing w:after="0" w:line="240" w:lineRule="auto"/>
      </w:pPr>
      <w:r w:rsidRPr="002771C4">
        <w:t>Identifying and updating</w:t>
      </w:r>
      <w:r w:rsidR="001C0148" w:rsidRPr="002771C4">
        <w:t xml:space="preserve"> section</w:t>
      </w:r>
      <w:r w:rsidRPr="002771C4">
        <w:t>s of</w:t>
      </w:r>
      <w:r w:rsidR="001C0148" w:rsidRPr="002771C4">
        <w:t xml:space="preserve"> </w:t>
      </w:r>
      <w:r w:rsidR="00131AE5" w:rsidRPr="002771C4">
        <w:t xml:space="preserve">the </w:t>
      </w:r>
      <w:r w:rsidR="001C0148" w:rsidRPr="002771C4">
        <w:t xml:space="preserve">current CIfA </w:t>
      </w:r>
      <w:r w:rsidR="00E32016" w:rsidRPr="002771C4">
        <w:t>S</w:t>
      </w:r>
      <w:r w:rsidR="001C0148" w:rsidRPr="002771C4">
        <w:t>tandard</w:t>
      </w:r>
      <w:r w:rsidR="00B208EF">
        <w:t>s</w:t>
      </w:r>
      <w:r w:rsidR="00E32016" w:rsidRPr="002771C4">
        <w:t xml:space="preserve"> and guidance documents </w:t>
      </w:r>
      <w:r w:rsidR="001C0148" w:rsidRPr="002771C4">
        <w:t>to link</w:t>
      </w:r>
      <w:r w:rsidR="00B208EF">
        <w:t>/signpost</w:t>
      </w:r>
      <w:r w:rsidR="001C0148" w:rsidRPr="002771C4">
        <w:t xml:space="preserve"> to the new</w:t>
      </w:r>
      <w:r w:rsidR="004876DC">
        <w:t>ly developed Toolkit containing a</w:t>
      </w:r>
      <w:r w:rsidR="001C0148" w:rsidRPr="002771C4">
        <w:t xml:space="preserve"> suite of community </w:t>
      </w:r>
      <w:r w:rsidR="00CA2E51">
        <w:t>engagement</w:t>
      </w:r>
      <w:r w:rsidR="00CA2E51" w:rsidRPr="002771C4">
        <w:t xml:space="preserve"> </w:t>
      </w:r>
      <w:r w:rsidR="001C0148" w:rsidRPr="002771C4">
        <w:t>guidance</w:t>
      </w:r>
      <w:r w:rsidR="00384819">
        <w:t xml:space="preserve"> </w:t>
      </w:r>
      <w:r w:rsidR="00A90809">
        <w:t xml:space="preserve">as outlined above. </w:t>
      </w:r>
    </w:p>
    <w:p w14:paraId="0552964C" w14:textId="77777777" w:rsidR="00131AE5" w:rsidRPr="002771C4" w:rsidRDefault="00131AE5">
      <w:pPr>
        <w:pBdr>
          <w:top w:val="nil"/>
          <w:left w:val="nil"/>
          <w:bottom w:val="nil"/>
          <w:right w:val="nil"/>
          <w:between w:val="nil"/>
        </w:pBdr>
        <w:spacing w:after="0" w:line="240" w:lineRule="auto"/>
        <w:ind w:left="770"/>
      </w:pPr>
    </w:p>
    <w:p w14:paraId="11AAF639" w14:textId="0C7BED20" w:rsidR="001C0148" w:rsidRPr="002771C4" w:rsidRDefault="001C0148" w:rsidP="00332050">
      <w:pPr>
        <w:numPr>
          <w:ilvl w:val="0"/>
          <w:numId w:val="5"/>
        </w:numPr>
        <w:pBdr>
          <w:top w:val="nil"/>
          <w:left w:val="nil"/>
          <w:bottom w:val="nil"/>
          <w:right w:val="nil"/>
          <w:between w:val="nil"/>
        </w:pBdr>
        <w:spacing w:after="0" w:line="240" w:lineRule="auto"/>
      </w:pPr>
      <w:r w:rsidRPr="002771C4">
        <w:t>Work</w:t>
      </w:r>
      <w:r w:rsidR="00C8005F" w:rsidRPr="002771C4">
        <w:t>ing</w:t>
      </w:r>
      <w:r w:rsidRPr="002771C4">
        <w:t xml:space="preserve"> collaboratively across community archaeology organisations and practitioners to define what should be included in the guidance through a consultation process</w:t>
      </w:r>
      <w:r w:rsidR="00A90809">
        <w:t>.</w:t>
      </w:r>
      <w:r w:rsidRPr="002771C4">
        <w:t xml:space="preserve"> </w:t>
      </w:r>
    </w:p>
    <w:p w14:paraId="179A82E9" w14:textId="77777777" w:rsidR="00E57236" w:rsidRPr="002771C4" w:rsidRDefault="00E57236" w:rsidP="00332050">
      <w:pPr>
        <w:pBdr>
          <w:top w:val="nil"/>
          <w:left w:val="nil"/>
          <w:bottom w:val="nil"/>
          <w:right w:val="nil"/>
          <w:between w:val="nil"/>
        </w:pBdr>
        <w:spacing w:after="0" w:line="240" w:lineRule="auto"/>
      </w:pPr>
    </w:p>
    <w:p w14:paraId="328145E7" w14:textId="30F0A702" w:rsidR="00910A0B" w:rsidRPr="002771C4" w:rsidRDefault="006E6539" w:rsidP="00203B5F">
      <w:pPr>
        <w:numPr>
          <w:ilvl w:val="0"/>
          <w:numId w:val="5"/>
        </w:numPr>
        <w:pBdr>
          <w:top w:val="nil"/>
          <w:left w:val="nil"/>
          <w:bottom w:val="nil"/>
          <w:right w:val="nil"/>
          <w:between w:val="nil"/>
        </w:pBdr>
        <w:spacing w:after="0" w:line="240" w:lineRule="auto"/>
      </w:pPr>
      <w:r w:rsidRPr="002771C4">
        <w:t xml:space="preserve">Creating an implementation plan to identify different </w:t>
      </w:r>
      <w:r w:rsidR="005375D7" w:rsidRPr="002771C4">
        <w:t>pathways</w:t>
      </w:r>
      <w:r w:rsidR="00034BB8">
        <w:t xml:space="preserve"> (for example, promotion</w:t>
      </w:r>
      <w:r w:rsidR="00C7235E">
        <w:t>al and training activities)</w:t>
      </w:r>
      <w:r w:rsidR="005375D7" w:rsidRPr="002771C4">
        <w:t xml:space="preserve"> to embed the guidance in practice working with sector representatives, including national agencies, CIfA, </w:t>
      </w:r>
      <w:r w:rsidR="007C4BC2">
        <w:t xml:space="preserve">ALGAO and </w:t>
      </w:r>
      <w:r w:rsidR="005375D7" w:rsidRPr="002771C4">
        <w:t>FAME</w:t>
      </w:r>
      <w:r w:rsidR="000B470E">
        <w:t>.</w:t>
      </w:r>
      <w:r w:rsidR="005375D7" w:rsidRPr="002771C4">
        <w:t xml:space="preserve"> </w:t>
      </w:r>
      <w:r w:rsidR="00203B5F">
        <w:br/>
      </w:r>
    </w:p>
    <w:p w14:paraId="76C3C140" w14:textId="77777777" w:rsidR="00594E34" w:rsidRPr="002771C4" w:rsidRDefault="00910A0B" w:rsidP="00332050">
      <w:pPr>
        <w:numPr>
          <w:ilvl w:val="0"/>
          <w:numId w:val="5"/>
        </w:numPr>
        <w:pBdr>
          <w:top w:val="nil"/>
          <w:left w:val="nil"/>
          <w:bottom w:val="nil"/>
          <w:right w:val="nil"/>
          <w:between w:val="nil"/>
        </w:pBdr>
        <w:spacing w:after="0" w:line="240" w:lineRule="auto"/>
      </w:pPr>
      <w:r w:rsidRPr="002771C4">
        <w:t>Developing an evaluation</w:t>
      </w:r>
      <w:r w:rsidR="004B44CD" w:rsidRPr="002771C4">
        <w:t xml:space="preserve"> plan to assess</w:t>
      </w:r>
      <w:r w:rsidR="00594E34" w:rsidRPr="002771C4">
        <w:t>:</w:t>
      </w:r>
    </w:p>
    <w:p w14:paraId="6B644E77" w14:textId="3A29462B" w:rsidR="00E35E15" w:rsidRPr="002771C4" w:rsidRDefault="004B44CD" w:rsidP="00332050">
      <w:pPr>
        <w:numPr>
          <w:ilvl w:val="1"/>
          <w:numId w:val="5"/>
        </w:numPr>
        <w:pBdr>
          <w:top w:val="nil"/>
          <w:left w:val="nil"/>
          <w:bottom w:val="nil"/>
          <w:right w:val="nil"/>
          <w:between w:val="nil"/>
        </w:pBdr>
        <w:spacing w:after="0" w:line="240" w:lineRule="auto"/>
      </w:pPr>
      <w:r w:rsidRPr="002771C4">
        <w:t xml:space="preserve"> the impact that the guidance has had on </w:t>
      </w:r>
      <w:r w:rsidR="00A158FE" w:rsidRPr="002771C4">
        <w:t>supporting the development and delivery of community engagement activities</w:t>
      </w:r>
      <w:r w:rsidR="00031384" w:rsidRPr="002771C4">
        <w:t xml:space="preserve"> and</w:t>
      </w:r>
      <w:r w:rsidR="00E35E15" w:rsidRPr="002771C4">
        <w:t>,</w:t>
      </w:r>
      <w:r w:rsidR="00031384" w:rsidRPr="002771C4">
        <w:t xml:space="preserve">  </w:t>
      </w:r>
    </w:p>
    <w:p w14:paraId="6BE95B95" w14:textId="796E4F8E" w:rsidR="00B664F9" w:rsidRPr="002771C4" w:rsidRDefault="00031384" w:rsidP="00203B5F">
      <w:pPr>
        <w:numPr>
          <w:ilvl w:val="1"/>
          <w:numId w:val="5"/>
        </w:numPr>
        <w:pBdr>
          <w:top w:val="nil"/>
          <w:left w:val="nil"/>
          <w:bottom w:val="nil"/>
          <w:right w:val="nil"/>
          <w:between w:val="nil"/>
        </w:pBdr>
        <w:spacing w:after="0" w:line="240" w:lineRule="auto"/>
      </w:pPr>
      <w:r w:rsidRPr="002771C4">
        <w:lastRenderedPageBreak/>
        <w:t>the wider culture change required across the sector to embed the notion of community engagement</w:t>
      </w:r>
      <w:r w:rsidR="00FE7546">
        <w:t>, with an emphasis on</w:t>
      </w:r>
      <w:r w:rsidR="00E914DA">
        <w:t xml:space="preserve"> inclusivity</w:t>
      </w:r>
      <w:r w:rsidRPr="002771C4">
        <w:t xml:space="preserve"> as an ethos, rather than as</w:t>
      </w:r>
      <w:r w:rsidR="00C16ABC">
        <w:t xml:space="preserve"> an ‘add on’ or just something ‘</w:t>
      </w:r>
      <w:r w:rsidRPr="002771C4">
        <w:t>nice</w:t>
      </w:r>
      <w:r w:rsidR="00C16ABC">
        <w:t>’</w:t>
      </w:r>
      <w:r w:rsidRPr="002771C4">
        <w:t xml:space="preserve"> to have</w:t>
      </w:r>
      <w:r w:rsidR="00C16ABC">
        <w:t xml:space="preserve"> included</w:t>
      </w:r>
      <w:r w:rsidRPr="002771C4">
        <w:t>.</w:t>
      </w:r>
      <w:r w:rsidR="00203B5F">
        <w:br/>
      </w:r>
    </w:p>
    <w:p w14:paraId="2B20DDCC" w14:textId="44B75AFE" w:rsidR="00081ADB" w:rsidRPr="002771C4" w:rsidRDefault="00B664F9" w:rsidP="00203B5F">
      <w:pPr>
        <w:numPr>
          <w:ilvl w:val="0"/>
          <w:numId w:val="5"/>
        </w:numPr>
        <w:pBdr>
          <w:top w:val="nil"/>
          <w:left w:val="nil"/>
          <w:bottom w:val="nil"/>
          <w:right w:val="nil"/>
          <w:between w:val="nil"/>
        </w:pBdr>
        <w:spacing w:after="0" w:line="240" w:lineRule="auto"/>
      </w:pPr>
      <w:r w:rsidRPr="002771C4">
        <w:t xml:space="preserve">Maintaining the </w:t>
      </w:r>
      <w:r w:rsidR="00E32016" w:rsidRPr="002771C4">
        <w:t>T</w:t>
      </w:r>
      <w:r w:rsidRPr="002771C4">
        <w:t>oolkit by keeping content current and</w:t>
      </w:r>
      <w:r w:rsidR="00384819">
        <w:t xml:space="preserve"> signposting to new case studies and resources as they become available</w:t>
      </w:r>
      <w:r w:rsidR="00BE31B2">
        <w:t xml:space="preserve"> – </w:t>
      </w:r>
      <w:r w:rsidR="00BE31B2" w:rsidRPr="008B5B9C">
        <w:t>to be undertaken by</w:t>
      </w:r>
      <w:r w:rsidR="008B5B9C" w:rsidRPr="008B5B9C">
        <w:t xml:space="preserve"> the</w:t>
      </w:r>
      <w:r w:rsidR="00BE31B2" w:rsidRPr="008B5B9C">
        <w:t xml:space="preserve"> CIfA V&amp;C group</w:t>
      </w:r>
      <w:r w:rsidR="008B5B9C" w:rsidRPr="008B5B9C">
        <w:t xml:space="preserve"> in conjunction with C</w:t>
      </w:r>
      <w:r w:rsidR="008B5B9C">
        <w:t>I</w:t>
      </w:r>
      <w:r w:rsidR="008B5B9C" w:rsidRPr="008B5B9C">
        <w:t>fA staff</w:t>
      </w:r>
      <w:r w:rsidR="00BE31B2" w:rsidRPr="008B5B9C">
        <w:t xml:space="preserve"> post project</w:t>
      </w:r>
      <w:r w:rsidR="008B5B9C">
        <w:t>.</w:t>
      </w:r>
      <w:r w:rsidR="00203B5F">
        <w:br/>
      </w:r>
    </w:p>
    <w:p w14:paraId="6570956A" w14:textId="32E59939" w:rsidR="00081ADB" w:rsidRPr="002771C4" w:rsidRDefault="00081ADB" w:rsidP="00332050">
      <w:pPr>
        <w:numPr>
          <w:ilvl w:val="0"/>
          <w:numId w:val="5"/>
        </w:numPr>
        <w:pBdr>
          <w:top w:val="nil"/>
          <w:left w:val="nil"/>
          <w:bottom w:val="nil"/>
          <w:right w:val="nil"/>
          <w:between w:val="nil"/>
        </w:pBdr>
        <w:spacing w:after="0" w:line="240" w:lineRule="auto"/>
      </w:pPr>
      <w:r w:rsidRPr="002771C4">
        <w:t xml:space="preserve">Undertaking another local authority planning archaeologist survey </w:t>
      </w:r>
      <w:r w:rsidR="00B10C5A">
        <w:t xml:space="preserve">three </w:t>
      </w:r>
      <w:r w:rsidRPr="002771C4">
        <w:t xml:space="preserve">years after the publication of the </w:t>
      </w:r>
      <w:r w:rsidR="00E32016" w:rsidRPr="002771C4">
        <w:t>T</w:t>
      </w:r>
      <w:r w:rsidRPr="002771C4">
        <w:t>oolkit to assess whether</w:t>
      </w:r>
      <w:r w:rsidR="00B7548D" w:rsidRPr="002771C4">
        <w:t xml:space="preserve"> there have been any improvements to the perceptions that </w:t>
      </w:r>
      <w:r w:rsidR="00340BEC">
        <w:t>archaeological advisors</w:t>
      </w:r>
      <w:r w:rsidR="00B7548D" w:rsidRPr="002771C4">
        <w:t xml:space="preserve"> have on community engagement and its delivery.</w:t>
      </w:r>
      <w:r w:rsidR="003F6BE4">
        <w:t xml:space="preserve"> This </w:t>
      </w:r>
      <w:r w:rsidR="00F74314">
        <w:t xml:space="preserve">in-kind survey </w:t>
      </w:r>
      <w:r w:rsidR="003F6BE4">
        <w:t xml:space="preserve">would </w:t>
      </w:r>
      <w:r w:rsidR="00BE31B2" w:rsidRPr="008B5B9C">
        <w:t xml:space="preserve">be undertaken by CIfA V&amp;C group post project </w:t>
      </w:r>
      <w:r w:rsidR="003F6BE4">
        <w:t xml:space="preserve">follow on from the </w:t>
      </w:r>
      <w:r w:rsidR="00F74314">
        <w:t>one</w:t>
      </w:r>
      <w:r w:rsidR="003F6BE4">
        <w:t xml:space="preserve"> undertaken in </w:t>
      </w:r>
      <w:r w:rsidR="003F6BE4" w:rsidRPr="00EC3898">
        <w:t>20</w:t>
      </w:r>
      <w:r w:rsidR="00EC3898" w:rsidRPr="00EC3898">
        <w:t>20/21</w:t>
      </w:r>
      <w:r w:rsidR="003F6BE4">
        <w:t xml:space="preserve"> by the CIfA V&amp;C SIG.</w:t>
      </w:r>
    </w:p>
    <w:p w14:paraId="6E4C6699" w14:textId="77777777" w:rsidR="00042921" w:rsidRPr="002771C4" w:rsidRDefault="00042921" w:rsidP="00332050">
      <w:pPr>
        <w:pStyle w:val="ListParagraph"/>
        <w:spacing w:line="240" w:lineRule="auto"/>
        <w:rPr>
          <w:color w:val="FF0000"/>
        </w:rPr>
      </w:pPr>
    </w:p>
    <w:p w14:paraId="35C9F2EE" w14:textId="0DC4E46F" w:rsidR="00DF44FF" w:rsidRPr="003F6BE4" w:rsidRDefault="00067CAE" w:rsidP="00A95502">
      <w:pPr>
        <w:spacing w:line="240" w:lineRule="auto"/>
        <w:rPr>
          <w:b/>
        </w:rPr>
      </w:pPr>
      <w:r w:rsidRPr="003F6BE4">
        <w:rPr>
          <w:b/>
        </w:rPr>
        <w:t>Business case</w:t>
      </w:r>
    </w:p>
    <w:p w14:paraId="54D22B3C" w14:textId="3197D54C" w:rsidR="00627173" w:rsidRDefault="00067CAE" w:rsidP="00627173">
      <w:pPr>
        <w:spacing w:line="240" w:lineRule="auto"/>
      </w:pPr>
      <w:r w:rsidRPr="002771C4">
        <w:t>Why now?</w:t>
      </w:r>
      <w:r w:rsidR="00EC3898">
        <w:t xml:space="preserve"> </w:t>
      </w:r>
      <w:r w:rsidR="00502665" w:rsidRPr="002771C4">
        <w:t xml:space="preserve">There is currently a great deal of focus on the </w:t>
      </w:r>
      <w:r w:rsidR="001102F4" w:rsidRPr="002771C4">
        <w:t xml:space="preserve">need for the archaeological sector to articulate better how it contributes to delivering public benefit. </w:t>
      </w:r>
      <w:r w:rsidR="00836CF3" w:rsidRPr="002771C4">
        <w:t>Planning policy in the UK emphasises sustainable development that benefits economy, society and the environment and requires, among other things, the protection and enhancement of the historic environment. The 2011 Southport Report</w:t>
      </w:r>
      <w:r w:rsidR="007819A1" w:rsidRPr="002771C4">
        <w:rPr>
          <w:rStyle w:val="FootnoteReference"/>
        </w:rPr>
        <w:footnoteReference w:id="7"/>
      </w:r>
      <w:r w:rsidR="007819A1" w:rsidRPr="002771C4">
        <w:t xml:space="preserve"> </w:t>
      </w:r>
      <w:r w:rsidR="00836CF3" w:rsidRPr="002771C4">
        <w:t>made a series of recommendations to enable the historic environment sector to make a ‘</w:t>
      </w:r>
      <w:r w:rsidR="00836CF3" w:rsidRPr="00BE1C60">
        <w:rPr>
          <w:i/>
          <w:iCs/>
        </w:rPr>
        <w:t xml:space="preserve">deliberate, bold and consistent set of improvements to how it understands, investigates, records, involves communities and communicates the significance of historic environment assets in the context of the planning process, </w:t>
      </w:r>
      <w:r w:rsidR="00EC3898" w:rsidRPr="00BE1C60">
        <w:rPr>
          <w:i/>
          <w:iCs/>
        </w:rPr>
        <w:t>to</w:t>
      </w:r>
      <w:r w:rsidR="00836CF3" w:rsidRPr="00BE1C60">
        <w:rPr>
          <w:i/>
          <w:iCs/>
        </w:rPr>
        <w:t xml:space="preserve"> realise the benefits to society</w:t>
      </w:r>
      <w:r w:rsidR="00836CF3" w:rsidRPr="002771C4">
        <w:t>’</w:t>
      </w:r>
      <w:r w:rsidR="00E32016" w:rsidRPr="002771C4">
        <w:t>.</w:t>
      </w:r>
      <w:r w:rsidR="00B937DD" w:rsidRPr="002771C4">
        <w:t xml:space="preserve"> </w:t>
      </w:r>
      <w:r w:rsidR="005D6571">
        <w:t xml:space="preserve">This was </w:t>
      </w:r>
      <w:r w:rsidR="007F7065">
        <w:t>also highlighted as part of the 21</w:t>
      </w:r>
      <w:r w:rsidR="007F7065" w:rsidRPr="00C52D7A">
        <w:rPr>
          <w:vertAlign w:val="superscript"/>
        </w:rPr>
        <w:t>st</w:t>
      </w:r>
      <w:r w:rsidR="007F7065">
        <w:t xml:space="preserve"> century challenges for archaeology </w:t>
      </w:r>
      <w:r w:rsidR="00E33176">
        <w:t>discussions</w:t>
      </w:r>
      <w:r w:rsidR="00627173">
        <w:t xml:space="preserve">, </w:t>
      </w:r>
      <w:r w:rsidR="00E33176">
        <w:t xml:space="preserve">with the report </w:t>
      </w:r>
      <w:r w:rsidR="00627173">
        <w:t>stat</w:t>
      </w:r>
      <w:r w:rsidR="00E33176">
        <w:t>ing</w:t>
      </w:r>
      <w:r w:rsidR="00627173">
        <w:t xml:space="preserve"> </w:t>
      </w:r>
      <w:r w:rsidR="00627173" w:rsidRPr="00C52D7A">
        <w:rPr>
          <w:i/>
          <w:iCs/>
        </w:rPr>
        <w:t xml:space="preserve">‘We need to articulate better the public benefit of what we do, including to other agencies, organisations, and individuals outside the heritage sector. We also need to engage the community more in protection and management, and in the planning and designation </w:t>
      </w:r>
      <w:proofErr w:type="gramStart"/>
      <w:r w:rsidR="00627173" w:rsidRPr="00C52D7A">
        <w:rPr>
          <w:i/>
          <w:iCs/>
        </w:rPr>
        <w:t>processes</w:t>
      </w:r>
      <w:r w:rsidR="002B46F4" w:rsidRPr="00C52D7A">
        <w:rPr>
          <w:i/>
          <w:iCs/>
        </w:rPr>
        <w:t>’</w:t>
      </w:r>
      <w:proofErr w:type="gramEnd"/>
      <w:r w:rsidR="002B46F4" w:rsidRPr="00C52D7A">
        <w:rPr>
          <w:i/>
          <w:iCs/>
        </w:rPr>
        <w:t xml:space="preserve">. </w:t>
      </w:r>
      <w:r w:rsidR="002B46F4" w:rsidRPr="00C52D7A">
        <w:rPr>
          <w:vertAlign w:val="superscript"/>
        </w:rPr>
        <w:t>9</w:t>
      </w:r>
    </w:p>
    <w:p w14:paraId="6348DF6A" w14:textId="6D0A56EB" w:rsidR="002B7CBE" w:rsidRPr="00CB268C" w:rsidRDefault="00C12999" w:rsidP="002B7CBE">
      <w:pPr>
        <w:pStyle w:val="CommentText"/>
        <w:rPr>
          <w:sz w:val="22"/>
          <w:szCs w:val="22"/>
        </w:rPr>
      </w:pPr>
      <w:r w:rsidRPr="00B40989">
        <w:rPr>
          <w:sz w:val="22"/>
          <w:szCs w:val="22"/>
        </w:rPr>
        <w:t>Community engagement is one aspect of how the sector can contribute to delivering public benefit</w:t>
      </w:r>
      <w:r w:rsidR="00E32016" w:rsidRPr="00B40989">
        <w:rPr>
          <w:sz w:val="22"/>
          <w:szCs w:val="22"/>
        </w:rPr>
        <w:t>.</w:t>
      </w:r>
      <w:r w:rsidR="00553131" w:rsidRPr="00B40989">
        <w:rPr>
          <w:sz w:val="22"/>
          <w:szCs w:val="22"/>
        </w:rPr>
        <w:t xml:space="preserve"> </w:t>
      </w:r>
      <w:r w:rsidR="002B7CBE" w:rsidRPr="00CB268C">
        <w:rPr>
          <w:sz w:val="22"/>
          <w:szCs w:val="22"/>
        </w:rPr>
        <w:t>The CIfA V&amp;C SIG’s recent survey (forthcoming)</w:t>
      </w:r>
      <w:r w:rsidR="00742B02" w:rsidRPr="00CB268C">
        <w:rPr>
          <w:sz w:val="22"/>
          <w:szCs w:val="22"/>
        </w:rPr>
        <w:t xml:space="preserve"> </w:t>
      </w:r>
      <w:r w:rsidR="002B7CBE" w:rsidRPr="00CB268C">
        <w:rPr>
          <w:sz w:val="22"/>
          <w:szCs w:val="22"/>
        </w:rPr>
        <w:t>has shown that community archaeology engagement through the planning system is not embedded in sector practice but is often seen as an add on and that there is a great deal of variation in implementation and little evaluation of impact.</w:t>
      </w:r>
    </w:p>
    <w:p w14:paraId="7E6DE11A" w14:textId="355A9F43" w:rsidR="000A4D1C" w:rsidRPr="00114E8C" w:rsidRDefault="009B496E" w:rsidP="00332050">
      <w:pPr>
        <w:spacing w:line="240" w:lineRule="auto"/>
      </w:pPr>
      <w:r>
        <w:t>T</w:t>
      </w:r>
      <w:r w:rsidR="00163ED6">
        <w:t xml:space="preserve">his </w:t>
      </w:r>
      <w:r w:rsidR="00114E8C">
        <w:t>proposal</w:t>
      </w:r>
      <w:r w:rsidR="00163ED6">
        <w:t xml:space="preserve"> represents</w:t>
      </w:r>
      <w:r w:rsidR="00506280" w:rsidRPr="002771C4">
        <w:t xml:space="preserve"> a</w:t>
      </w:r>
      <w:r w:rsidR="00125C8F">
        <w:t>n</w:t>
      </w:r>
      <w:r w:rsidR="00506280" w:rsidRPr="002771C4">
        <w:t xml:space="preserve"> opportunity to introduce the </w:t>
      </w:r>
      <w:r w:rsidR="002173C6">
        <w:t xml:space="preserve">tools and </w:t>
      </w:r>
      <w:r w:rsidR="00506280" w:rsidRPr="002771C4">
        <w:t>support mechanisms</w:t>
      </w:r>
      <w:r w:rsidR="00114E8C">
        <w:t xml:space="preserve"> needed</w:t>
      </w:r>
      <w:r w:rsidR="00506280" w:rsidRPr="002771C4">
        <w:t xml:space="preserve"> to ensure maximum effectiveness of </w:t>
      </w:r>
      <w:r>
        <w:t xml:space="preserve">community archaeology </w:t>
      </w:r>
      <w:r w:rsidR="00801C1E">
        <w:t>engagement</w:t>
      </w:r>
      <w:r w:rsidR="00BF1E48">
        <w:t>.</w:t>
      </w:r>
    </w:p>
    <w:p w14:paraId="67C2302C" w14:textId="1CD04EDB" w:rsidR="00F7517C" w:rsidRPr="00114E8C" w:rsidRDefault="00F7517C" w:rsidP="00332050">
      <w:pPr>
        <w:spacing w:line="240" w:lineRule="auto"/>
        <w:rPr>
          <w:b/>
          <w:bCs/>
        </w:rPr>
      </w:pPr>
      <w:r w:rsidRPr="00114E8C">
        <w:rPr>
          <w:b/>
          <w:bCs/>
        </w:rPr>
        <w:t>Supporting Historic England’s Public Value Framework</w:t>
      </w:r>
    </w:p>
    <w:p w14:paraId="613CA7B1" w14:textId="32158E39" w:rsidR="00F7517C" w:rsidRPr="00B75E05" w:rsidRDefault="00ED0ED1" w:rsidP="00B75E05">
      <w:pPr>
        <w:pStyle w:val="CommentText"/>
        <w:rPr>
          <w:sz w:val="22"/>
          <w:szCs w:val="22"/>
        </w:rPr>
      </w:pPr>
      <w:r w:rsidRPr="002771C4">
        <w:rPr>
          <w:sz w:val="22"/>
          <w:szCs w:val="22"/>
        </w:rPr>
        <w:t xml:space="preserve">Historic England has a public value framework </w:t>
      </w:r>
      <w:r w:rsidR="002E7357" w:rsidRPr="00425F32">
        <w:rPr>
          <w:sz w:val="22"/>
          <w:szCs w:val="22"/>
        </w:rPr>
        <w:t xml:space="preserve">(divided into 4 pillars) </w:t>
      </w:r>
      <w:r w:rsidRPr="002771C4">
        <w:rPr>
          <w:sz w:val="22"/>
          <w:szCs w:val="22"/>
        </w:rPr>
        <w:t>and th</w:t>
      </w:r>
      <w:r w:rsidR="002E7357" w:rsidRPr="002771C4">
        <w:rPr>
          <w:sz w:val="22"/>
          <w:szCs w:val="22"/>
        </w:rPr>
        <w:t>e</w:t>
      </w:r>
      <w:r w:rsidRPr="002771C4">
        <w:rPr>
          <w:sz w:val="22"/>
          <w:szCs w:val="22"/>
        </w:rPr>
        <w:t xml:space="preserve"> following shows how this proposal aligns with this</w:t>
      </w:r>
      <w:r w:rsidR="00B42757" w:rsidRPr="002771C4">
        <w:rPr>
          <w:sz w:val="22"/>
          <w:szCs w:val="22"/>
        </w:rPr>
        <w:t xml:space="preserve"> framework</w:t>
      </w:r>
      <w:r w:rsidRPr="002771C4">
        <w:rPr>
          <w:sz w:val="22"/>
          <w:szCs w:val="22"/>
        </w:rPr>
        <w:t xml:space="preserve">.  </w:t>
      </w:r>
    </w:p>
    <w:p w14:paraId="3BD9B2A5" w14:textId="285ABA84" w:rsidR="00456615" w:rsidRPr="00B75E05" w:rsidRDefault="00C9673E" w:rsidP="00332050">
      <w:pPr>
        <w:spacing w:line="240" w:lineRule="auto"/>
        <w:rPr>
          <w:i/>
          <w:iCs/>
        </w:rPr>
      </w:pPr>
      <w:r w:rsidRPr="00B75E05">
        <w:rPr>
          <w:i/>
          <w:iCs/>
        </w:rPr>
        <w:t xml:space="preserve">Pillar 1 </w:t>
      </w:r>
      <w:r w:rsidR="00456615" w:rsidRPr="00B75E05">
        <w:rPr>
          <w:i/>
          <w:iCs/>
        </w:rPr>
        <w:t>Assured Alignment</w:t>
      </w:r>
    </w:p>
    <w:p w14:paraId="35C9F2FD" w14:textId="29B35E7D" w:rsidR="00DF44FF" w:rsidRPr="002771C4" w:rsidRDefault="00067CAE" w:rsidP="00332050">
      <w:pPr>
        <w:spacing w:line="240" w:lineRule="auto"/>
        <w:rPr>
          <w:color w:val="000000" w:themeColor="text1"/>
        </w:rPr>
      </w:pPr>
      <w:r w:rsidRPr="002771C4">
        <w:rPr>
          <w:color w:val="000000" w:themeColor="text1"/>
        </w:rPr>
        <w:t xml:space="preserve">The project contributes to various national sectoral aims </w:t>
      </w:r>
    </w:p>
    <w:p w14:paraId="35C9F2FE" w14:textId="6464EF36" w:rsidR="00DF44FF" w:rsidRPr="00E22AA3" w:rsidRDefault="00067CAE" w:rsidP="00181459">
      <w:pPr>
        <w:pStyle w:val="ListParagraph"/>
        <w:numPr>
          <w:ilvl w:val="0"/>
          <w:numId w:val="21"/>
        </w:numPr>
        <w:spacing w:line="240" w:lineRule="auto"/>
        <w:rPr>
          <w:b/>
          <w:bCs/>
          <w:color w:val="000000" w:themeColor="text1"/>
        </w:rPr>
      </w:pPr>
      <w:r w:rsidRPr="00E22AA3">
        <w:rPr>
          <w:b/>
          <w:bCs/>
          <w:color w:val="000000" w:themeColor="text1"/>
        </w:rPr>
        <w:t>Historic England Corporate Plan 20</w:t>
      </w:r>
      <w:r w:rsidR="00771547" w:rsidRPr="00E22AA3">
        <w:rPr>
          <w:b/>
          <w:bCs/>
          <w:color w:val="000000" w:themeColor="text1"/>
        </w:rPr>
        <w:t>21</w:t>
      </w:r>
      <w:r w:rsidRPr="00E22AA3">
        <w:rPr>
          <w:b/>
          <w:bCs/>
          <w:color w:val="000000" w:themeColor="text1"/>
        </w:rPr>
        <w:t xml:space="preserve"> – 22</w:t>
      </w:r>
    </w:p>
    <w:p w14:paraId="1DC9E8EA" w14:textId="33DFA39A" w:rsidR="00771547" w:rsidRPr="002771C4" w:rsidRDefault="00067CAE" w:rsidP="00332050">
      <w:pPr>
        <w:spacing w:line="240" w:lineRule="auto"/>
        <w:rPr>
          <w:color w:val="FF0000"/>
        </w:rPr>
      </w:pPr>
      <w:r w:rsidRPr="002771C4">
        <w:rPr>
          <w:color w:val="000000" w:themeColor="text1"/>
        </w:rPr>
        <w:lastRenderedPageBreak/>
        <w:t>This project contributes to Historic England’s Strategic Objective:</w:t>
      </w:r>
      <w:r w:rsidR="005A4502" w:rsidRPr="002771C4">
        <w:rPr>
          <w:color w:val="000000" w:themeColor="text1"/>
        </w:rPr>
        <w:t xml:space="preserve"> </w:t>
      </w:r>
      <w:r w:rsidR="00535DE0" w:rsidRPr="00C52D7A">
        <w:rPr>
          <w:i/>
          <w:iCs/>
          <w:color w:val="000000" w:themeColor="text1"/>
        </w:rPr>
        <w:t xml:space="preserve">Work with people to build the skills, knowledge, </w:t>
      </w:r>
      <w:r w:rsidR="00181459" w:rsidRPr="00C52D7A">
        <w:rPr>
          <w:i/>
          <w:iCs/>
          <w:color w:val="000000" w:themeColor="text1"/>
        </w:rPr>
        <w:t>confidence,</w:t>
      </w:r>
      <w:r w:rsidR="00535DE0" w:rsidRPr="00C52D7A">
        <w:rPr>
          <w:i/>
          <w:iCs/>
          <w:color w:val="000000" w:themeColor="text1"/>
        </w:rPr>
        <w:t xml:space="preserve"> </w:t>
      </w:r>
      <w:r w:rsidR="00535DE0" w:rsidRPr="00C52D7A">
        <w:rPr>
          <w:i/>
          <w:iCs/>
        </w:rPr>
        <w:t>and motivation to fight for, and look after, their historic environment</w:t>
      </w:r>
    </w:p>
    <w:p w14:paraId="38D1C21A" w14:textId="621034DD" w:rsidR="005A4502" w:rsidRPr="002771C4" w:rsidRDefault="005A4502" w:rsidP="00332050">
      <w:pPr>
        <w:spacing w:line="240" w:lineRule="auto"/>
      </w:pPr>
      <w:r w:rsidRPr="002771C4">
        <w:t>It supports the following strategic activities:</w:t>
      </w:r>
    </w:p>
    <w:p w14:paraId="3F762321" w14:textId="34082DCC" w:rsidR="002E44B6" w:rsidRPr="00E22AA3" w:rsidRDefault="002E44B6" w:rsidP="00E22AA3">
      <w:pPr>
        <w:spacing w:line="240" w:lineRule="auto"/>
        <w:rPr>
          <w:b/>
          <w:bCs/>
        </w:rPr>
      </w:pPr>
      <w:r w:rsidRPr="00E22AA3">
        <w:rPr>
          <w:b/>
          <w:bCs/>
        </w:rPr>
        <w:t>Tier 1 Strategic Activity</w:t>
      </w:r>
      <w:r w:rsidR="004202DB" w:rsidRPr="00E22AA3">
        <w:rPr>
          <w:b/>
          <w:bCs/>
        </w:rPr>
        <w:t xml:space="preserve"> - </w:t>
      </w:r>
      <w:r w:rsidRPr="00E22AA3">
        <w:rPr>
          <w:b/>
          <w:bCs/>
        </w:rPr>
        <w:t xml:space="preserve">02 Investing in knowledge creation, </w:t>
      </w:r>
      <w:proofErr w:type="gramStart"/>
      <w:r w:rsidRPr="00E22AA3">
        <w:rPr>
          <w:b/>
          <w:bCs/>
        </w:rPr>
        <w:t>skills</w:t>
      </w:r>
      <w:proofErr w:type="gramEnd"/>
      <w:r w:rsidRPr="00E22AA3">
        <w:rPr>
          <w:b/>
          <w:bCs/>
        </w:rPr>
        <w:t xml:space="preserve"> and organisations (including English Heritage Trust) where our help is most needed</w:t>
      </w:r>
    </w:p>
    <w:p w14:paraId="31945987" w14:textId="350CE64E" w:rsidR="00EE0F9D" w:rsidRPr="002771C4" w:rsidRDefault="00D6414B" w:rsidP="00332050">
      <w:pPr>
        <w:spacing w:line="240" w:lineRule="auto"/>
      </w:pPr>
      <w:r w:rsidRPr="002771C4">
        <w:t xml:space="preserve">In particular </w:t>
      </w:r>
      <w:r w:rsidR="00EE0F9D" w:rsidRPr="002771C4">
        <w:t>–</w:t>
      </w:r>
      <w:r w:rsidRPr="002771C4">
        <w:t xml:space="preserve"> </w:t>
      </w:r>
    </w:p>
    <w:p w14:paraId="77876E63" w14:textId="2FB443A8" w:rsidR="00D6414B" w:rsidRPr="002771C4" w:rsidRDefault="00D6414B" w:rsidP="00332050">
      <w:pPr>
        <w:spacing w:line="240" w:lineRule="auto"/>
      </w:pPr>
      <w:r w:rsidRPr="002771C4">
        <w:t>2.3 Build/develop sector capacity and capability to make the most of the historic environment</w:t>
      </w:r>
    </w:p>
    <w:p w14:paraId="664BAE27" w14:textId="5F14900F" w:rsidR="007A2FDE" w:rsidRPr="00E22AA3" w:rsidRDefault="007A2FDE" w:rsidP="00E22AA3">
      <w:pPr>
        <w:spacing w:line="240" w:lineRule="auto"/>
        <w:rPr>
          <w:b/>
          <w:bCs/>
        </w:rPr>
      </w:pPr>
      <w:r w:rsidRPr="00E22AA3">
        <w:rPr>
          <w:b/>
          <w:bCs/>
        </w:rPr>
        <w:t>Tier 1 Strategic Activity</w:t>
      </w:r>
      <w:r w:rsidR="004202DB" w:rsidRPr="00E22AA3">
        <w:rPr>
          <w:b/>
          <w:bCs/>
        </w:rPr>
        <w:t xml:space="preserve"> - </w:t>
      </w:r>
      <w:r w:rsidRPr="00E22AA3">
        <w:rPr>
          <w:b/>
          <w:bCs/>
        </w:rPr>
        <w:t>05 Working with communities to build capacity in engaging and cost-effective ways</w:t>
      </w:r>
    </w:p>
    <w:p w14:paraId="2CD42308" w14:textId="2348945A" w:rsidR="00312CAE" w:rsidRPr="002771C4" w:rsidRDefault="00312CAE" w:rsidP="00332050">
      <w:pPr>
        <w:spacing w:line="240" w:lineRule="auto"/>
      </w:pPr>
      <w:r w:rsidRPr="002771C4">
        <w:t xml:space="preserve">In particular – </w:t>
      </w:r>
    </w:p>
    <w:p w14:paraId="71B5F722" w14:textId="77777777" w:rsidR="00312CAE" w:rsidRPr="002771C4" w:rsidRDefault="00312CAE" w:rsidP="00332050">
      <w:pPr>
        <w:spacing w:line="240" w:lineRule="auto"/>
      </w:pPr>
      <w:r w:rsidRPr="002771C4">
        <w:t>5.1 Help heritage sector organisations to work better with communities</w:t>
      </w:r>
    </w:p>
    <w:p w14:paraId="1932BCB9" w14:textId="77777777" w:rsidR="00312CAE" w:rsidRPr="002771C4" w:rsidRDefault="00312CAE" w:rsidP="00332050">
      <w:pPr>
        <w:spacing w:line="240" w:lineRule="auto"/>
      </w:pPr>
      <w:r w:rsidRPr="002771C4">
        <w:t>5.2 Build capacity (knowledge and skills) in communities</w:t>
      </w:r>
    </w:p>
    <w:p w14:paraId="5A67AB4B" w14:textId="3E0D77E1" w:rsidR="00312CAE" w:rsidRPr="002771C4" w:rsidRDefault="00312CAE" w:rsidP="00332050">
      <w:pPr>
        <w:spacing w:line="240" w:lineRule="auto"/>
      </w:pPr>
      <w:r w:rsidRPr="002771C4">
        <w:t>5.3 Provide more opportunities for people to contribute to our work through volunteering both in Historic England and elsewhere</w:t>
      </w:r>
    </w:p>
    <w:p w14:paraId="459506D9" w14:textId="0A2B1D86" w:rsidR="00087369" w:rsidRPr="002771C4" w:rsidRDefault="00E46E70" w:rsidP="00332050">
      <w:pPr>
        <w:spacing w:line="240" w:lineRule="auto"/>
        <w:rPr>
          <w:color w:val="000000" w:themeColor="text1"/>
        </w:rPr>
      </w:pPr>
      <w:r w:rsidRPr="002771C4">
        <w:t>Th</w:t>
      </w:r>
      <w:r w:rsidR="0091305F" w:rsidRPr="002771C4">
        <w:t>is project proposes</w:t>
      </w:r>
      <w:r w:rsidR="00796148">
        <w:t xml:space="preserve"> the c</w:t>
      </w:r>
      <w:r w:rsidR="00AD3F65">
        <w:t xml:space="preserve">reation </w:t>
      </w:r>
      <w:r w:rsidR="00796148">
        <w:t>of</w:t>
      </w:r>
      <w:r w:rsidRPr="002771C4">
        <w:t xml:space="preserve"> </w:t>
      </w:r>
      <w:r w:rsidR="0091305F" w:rsidRPr="002771C4">
        <w:t xml:space="preserve">a </w:t>
      </w:r>
      <w:r w:rsidRPr="002771C4">
        <w:rPr>
          <w:color w:val="000000" w:themeColor="text1"/>
        </w:rPr>
        <w:t xml:space="preserve">suite of guidance </w:t>
      </w:r>
      <w:r w:rsidR="002771C4" w:rsidRPr="002771C4">
        <w:rPr>
          <w:color w:val="000000" w:themeColor="text1"/>
        </w:rPr>
        <w:t xml:space="preserve">presented in </w:t>
      </w:r>
      <w:r w:rsidR="00796148">
        <w:rPr>
          <w:color w:val="000000" w:themeColor="text1"/>
        </w:rPr>
        <w:t>a</w:t>
      </w:r>
      <w:r w:rsidR="002771C4" w:rsidRPr="002771C4">
        <w:rPr>
          <w:color w:val="000000" w:themeColor="text1"/>
        </w:rPr>
        <w:t xml:space="preserve"> Toolkit format </w:t>
      </w:r>
      <w:r w:rsidR="0091305F" w:rsidRPr="002771C4">
        <w:rPr>
          <w:color w:val="000000" w:themeColor="text1"/>
        </w:rPr>
        <w:t xml:space="preserve">that </w:t>
      </w:r>
      <w:r w:rsidRPr="002771C4">
        <w:rPr>
          <w:color w:val="000000" w:themeColor="text1"/>
        </w:rPr>
        <w:t xml:space="preserve">will provide the information and </w:t>
      </w:r>
      <w:r w:rsidR="00796148">
        <w:rPr>
          <w:color w:val="000000" w:themeColor="text1"/>
        </w:rPr>
        <w:t>resources needed</w:t>
      </w:r>
      <w:r w:rsidRPr="002771C4">
        <w:rPr>
          <w:color w:val="000000" w:themeColor="text1"/>
        </w:rPr>
        <w:t xml:space="preserve"> for </w:t>
      </w:r>
      <w:r w:rsidR="005E764A" w:rsidRPr="002771C4">
        <w:rPr>
          <w:color w:val="000000" w:themeColor="text1"/>
        </w:rPr>
        <w:t xml:space="preserve">the archaeology sector to work better with communities and deliver more meaningful and </w:t>
      </w:r>
      <w:r w:rsidR="003F6044" w:rsidRPr="002771C4">
        <w:rPr>
          <w:color w:val="000000" w:themeColor="text1"/>
        </w:rPr>
        <w:t xml:space="preserve">impactful community engagement. </w:t>
      </w:r>
      <w:r w:rsidR="0091305F" w:rsidRPr="002771C4">
        <w:rPr>
          <w:color w:val="000000" w:themeColor="text1"/>
        </w:rPr>
        <w:t>The guidance</w:t>
      </w:r>
      <w:r w:rsidR="005E764A" w:rsidRPr="002771C4">
        <w:rPr>
          <w:color w:val="000000" w:themeColor="text1"/>
        </w:rPr>
        <w:t xml:space="preserve"> </w:t>
      </w:r>
      <w:r w:rsidR="00087369" w:rsidRPr="002771C4">
        <w:rPr>
          <w:color w:val="000000" w:themeColor="text1"/>
        </w:rPr>
        <w:t xml:space="preserve">will </w:t>
      </w:r>
      <w:r w:rsidR="00CB3CB9">
        <w:rPr>
          <w:color w:val="000000" w:themeColor="text1"/>
        </w:rPr>
        <w:t>support</w:t>
      </w:r>
      <w:r w:rsidR="00087369" w:rsidRPr="002771C4">
        <w:rPr>
          <w:color w:val="000000" w:themeColor="text1"/>
        </w:rPr>
        <w:t xml:space="preserve"> planners,</w:t>
      </w:r>
      <w:r w:rsidR="00796148">
        <w:rPr>
          <w:color w:val="000000" w:themeColor="text1"/>
        </w:rPr>
        <w:t xml:space="preserve"> advisors,</w:t>
      </w:r>
      <w:r w:rsidR="00087369" w:rsidRPr="002771C4">
        <w:rPr>
          <w:color w:val="000000" w:themeColor="text1"/>
        </w:rPr>
        <w:t xml:space="preserve"> developers, consultants, </w:t>
      </w:r>
      <w:r w:rsidR="007C5D4C" w:rsidRPr="002771C4">
        <w:rPr>
          <w:color w:val="000000" w:themeColor="text1"/>
        </w:rPr>
        <w:t>contractors,</w:t>
      </w:r>
      <w:r w:rsidR="00C9080A">
        <w:rPr>
          <w:color w:val="000000" w:themeColor="text1"/>
        </w:rPr>
        <w:t xml:space="preserve"> </w:t>
      </w:r>
      <w:r w:rsidR="00087369" w:rsidRPr="002771C4">
        <w:rPr>
          <w:color w:val="000000" w:themeColor="text1"/>
        </w:rPr>
        <w:t>and funders</w:t>
      </w:r>
      <w:r w:rsidR="007C5D4C">
        <w:rPr>
          <w:color w:val="000000" w:themeColor="text1"/>
        </w:rPr>
        <w:t xml:space="preserve"> to</w:t>
      </w:r>
      <w:r w:rsidR="00087369" w:rsidRPr="002771C4">
        <w:rPr>
          <w:color w:val="000000" w:themeColor="text1"/>
        </w:rPr>
        <w:t xml:space="preserve"> commission or</w:t>
      </w:r>
      <w:r w:rsidR="00765AA6" w:rsidRPr="002771C4">
        <w:rPr>
          <w:color w:val="000000" w:themeColor="text1"/>
        </w:rPr>
        <w:t xml:space="preserve"> deliver</w:t>
      </w:r>
      <w:r w:rsidR="00087369" w:rsidRPr="002771C4">
        <w:rPr>
          <w:color w:val="000000" w:themeColor="text1"/>
        </w:rPr>
        <w:t xml:space="preserve"> community archaeology projects as part of the development process</w:t>
      </w:r>
      <w:r w:rsidR="00794A61" w:rsidRPr="002771C4">
        <w:rPr>
          <w:color w:val="000000" w:themeColor="text1"/>
        </w:rPr>
        <w:t xml:space="preserve">. It will provide </w:t>
      </w:r>
      <w:r w:rsidR="00DA3E3E" w:rsidRPr="002771C4">
        <w:rPr>
          <w:color w:val="000000" w:themeColor="text1"/>
        </w:rPr>
        <w:t xml:space="preserve">them </w:t>
      </w:r>
      <w:r w:rsidR="009E789F" w:rsidRPr="002771C4">
        <w:rPr>
          <w:color w:val="000000" w:themeColor="text1"/>
        </w:rPr>
        <w:t>with information on the types and scale of engagement that can be undertaken a</w:t>
      </w:r>
      <w:r w:rsidR="0066742A" w:rsidRPr="002771C4">
        <w:rPr>
          <w:color w:val="000000" w:themeColor="text1"/>
        </w:rPr>
        <w:t>nd tools</w:t>
      </w:r>
      <w:r w:rsidR="00794A61" w:rsidRPr="002771C4">
        <w:rPr>
          <w:color w:val="000000" w:themeColor="text1"/>
        </w:rPr>
        <w:t xml:space="preserve"> so that successful and impactful engagement can be </w:t>
      </w:r>
      <w:r w:rsidR="00500644" w:rsidRPr="002771C4">
        <w:rPr>
          <w:color w:val="000000" w:themeColor="text1"/>
        </w:rPr>
        <w:t>achieved</w:t>
      </w:r>
      <w:r w:rsidR="005E73D9" w:rsidRPr="002771C4">
        <w:rPr>
          <w:color w:val="000000" w:themeColor="text1"/>
        </w:rPr>
        <w:t xml:space="preserve">. </w:t>
      </w:r>
    </w:p>
    <w:p w14:paraId="1BEB0441" w14:textId="33185BA6" w:rsidR="00994F19" w:rsidRPr="002771C4" w:rsidRDefault="006E00BB" w:rsidP="00332050">
      <w:pPr>
        <w:spacing w:line="240" w:lineRule="auto"/>
        <w:rPr>
          <w:color w:val="000000" w:themeColor="text1"/>
        </w:rPr>
      </w:pPr>
      <w:r w:rsidRPr="002771C4">
        <w:rPr>
          <w:color w:val="000000" w:themeColor="text1"/>
        </w:rPr>
        <w:t>In particular</w:t>
      </w:r>
      <w:r w:rsidR="00B162FF" w:rsidRPr="002771C4">
        <w:rPr>
          <w:color w:val="000000" w:themeColor="text1"/>
        </w:rPr>
        <w:t>,</w:t>
      </w:r>
      <w:r w:rsidRPr="002771C4">
        <w:rPr>
          <w:color w:val="000000" w:themeColor="text1"/>
        </w:rPr>
        <w:t xml:space="preserve"> the guidance will support l</w:t>
      </w:r>
      <w:r w:rsidR="00E46E70" w:rsidRPr="002771C4">
        <w:rPr>
          <w:color w:val="000000" w:themeColor="text1"/>
        </w:rPr>
        <w:t xml:space="preserve">ocal authority </w:t>
      </w:r>
      <w:r w:rsidR="00E9164C">
        <w:rPr>
          <w:color w:val="000000" w:themeColor="text1"/>
        </w:rPr>
        <w:t>advisors</w:t>
      </w:r>
      <w:r w:rsidR="00E46E70" w:rsidRPr="002771C4">
        <w:rPr>
          <w:color w:val="000000" w:themeColor="text1"/>
        </w:rPr>
        <w:t xml:space="preserve"> </w:t>
      </w:r>
      <w:r w:rsidRPr="002771C4">
        <w:rPr>
          <w:color w:val="000000" w:themeColor="text1"/>
        </w:rPr>
        <w:t xml:space="preserve">to </w:t>
      </w:r>
      <w:r w:rsidR="00E46E70" w:rsidRPr="002771C4">
        <w:rPr>
          <w:color w:val="000000" w:themeColor="text1"/>
        </w:rPr>
        <w:t>understand better the</w:t>
      </w:r>
      <w:r w:rsidR="009A7E31" w:rsidRPr="002771C4">
        <w:rPr>
          <w:color w:val="000000" w:themeColor="text1"/>
        </w:rPr>
        <w:t xml:space="preserve"> role of community archaeology to deliver public benefit</w:t>
      </w:r>
      <w:r w:rsidR="001F133D" w:rsidRPr="002771C4">
        <w:rPr>
          <w:color w:val="000000" w:themeColor="text1"/>
        </w:rPr>
        <w:t xml:space="preserve"> as part of a development led investigation. I</w:t>
      </w:r>
      <w:r w:rsidRPr="002771C4">
        <w:rPr>
          <w:color w:val="000000" w:themeColor="text1"/>
        </w:rPr>
        <w:t>t</w:t>
      </w:r>
      <w:r w:rsidR="001F133D" w:rsidRPr="002771C4">
        <w:rPr>
          <w:color w:val="000000" w:themeColor="text1"/>
        </w:rPr>
        <w:t xml:space="preserve"> will </w:t>
      </w:r>
      <w:r w:rsidR="009A7E31" w:rsidRPr="002771C4">
        <w:rPr>
          <w:color w:val="000000" w:themeColor="text1"/>
        </w:rPr>
        <w:t>provide them with examples of good practice</w:t>
      </w:r>
      <w:r w:rsidR="001F133D" w:rsidRPr="002771C4">
        <w:rPr>
          <w:color w:val="000000" w:themeColor="text1"/>
        </w:rPr>
        <w:t xml:space="preserve"> that can</w:t>
      </w:r>
      <w:r w:rsidR="00001F4A" w:rsidRPr="002771C4">
        <w:rPr>
          <w:color w:val="000000" w:themeColor="text1"/>
        </w:rPr>
        <w:t xml:space="preserve"> </w:t>
      </w:r>
      <w:r w:rsidR="00C47619" w:rsidRPr="002771C4">
        <w:rPr>
          <w:color w:val="000000" w:themeColor="text1"/>
        </w:rPr>
        <w:t xml:space="preserve">be </w:t>
      </w:r>
      <w:r w:rsidR="0052126E" w:rsidRPr="002771C4">
        <w:rPr>
          <w:color w:val="000000" w:themeColor="text1"/>
        </w:rPr>
        <w:t>include</w:t>
      </w:r>
      <w:r w:rsidR="00C47619" w:rsidRPr="002771C4">
        <w:rPr>
          <w:color w:val="000000" w:themeColor="text1"/>
        </w:rPr>
        <w:t>d</w:t>
      </w:r>
      <w:r w:rsidR="00001F4A" w:rsidRPr="002771C4">
        <w:rPr>
          <w:color w:val="000000" w:themeColor="text1"/>
        </w:rPr>
        <w:t xml:space="preserve"> </w:t>
      </w:r>
      <w:r w:rsidR="0052126E" w:rsidRPr="002771C4">
        <w:rPr>
          <w:color w:val="000000" w:themeColor="text1"/>
        </w:rPr>
        <w:t xml:space="preserve">in </w:t>
      </w:r>
      <w:r w:rsidR="00001F4A" w:rsidRPr="002771C4">
        <w:rPr>
          <w:color w:val="000000" w:themeColor="text1"/>
        </w:rPr>
        <w:t>project briefs</w:t>
      </w:r>
      <w:r w:rsidR="009A7E31" w:rsidRPr="002771C4">
        <w:rPr>
          <w:color w:val="000000" w:themeColor="text1"/>
        </w:rPr>
        <w:t xml:space="preserve">. </w:t>
      </w:r>
      <w:r w:rsidR="00F00BB4" w:rsidRPr="002771C4">
        <w:rPr>
          <w:color w:val="000000" w:themeColor="text1"/>
        </w:rPr>
        <w:t>It will provide the commercial sector</w:t>
      </w:r>
      <w:r w:rsidR="00910A0B" w:rsidRPr="002771C4">
        <w:rPr>
          <w:color w:val="000000" w:themeColor="text1"/>
        </w:rPr>
        <w:t xml:space="preserve"> working on development led investigations </w:t>
      </w:r>
      <w:r w:rsidR="009A7E31" w:rsidRPr="002771C4">
        <w:rPr>
          <w:color w:val="000000" w:themeColor="text1"/>
        </w:rPr>
        <w:t xml:space="preserve">with the </w:t>
      </w:r>
      <w:r w:rsidR="00910A0B" w:rsidRPr="002771C4">
        <w:rPr>
          <w:color w:val="000000" w:themeColor="text1"/>
        </w:rPr>
        <w:t xml:space="preserve">information and tools to </w:t>
      </w:r>
      <w:r w:rsidR="00994F19" w:rsidRPr="002771C4">
        <w:rPr>
          <w:color w:val="000000" w:themeColor="text1"/>
        </w:rPr>
        <w:t xml:space="preserve">help </w:t>
      </w:r>
      <w:r w:rsidR="00B36F3E" w:rsidRPr="002771C4">
        <w:rPr>
          <w:color w:val="000000" w:themeColor="text1"/>
        </w:rPr>
        <w:t>develop, deliver</w:t>
      </w:r>
      <w:r w:rsidR="00994F19" w:rsidRPr="002771C4">
        <w:rPr>
          <w:color w:val="000000" w:themeColor="text1"/>
        </w:rPr>
        <w:t xml:space="preserve">, </w:t>
      </w:r>
      <w:r w:rsidR="0034377D" w:rsidRPr="002771C4">
        <w:rPr>
          <w:color w:val="000000" w:themeColor="text1"/>
        </w:rPr>
        <w:t>evaluate,</w:t>
      </w:r>
      <w:r w:rsidR="00B36F3E" w:rsidRPr="002771C4">
        <w:rPr>
          <w:color w:val="000000" w:themeColor="text1"/>
        </w:rPr>
        <w:t xml:space="preserve"> and report on their community engagement work.</w:t>
      </w:r>
    </w:p>
    <w:p w14:paraId="6F1665A4" w14:textId="4880AB19" w:rsidR="00A230B7" w:rsidRPr="002771C4" w:rsidRDefault="00A230B7" w:rsidP="00332050">
      <w:pPr>
        <w:spacing w:line="240" w:lineRule="auto"/>
        <w:rPr>
          <w:color w:val="000000" w:themeColor="text1"/>
        </w:rPr>
      </w:pPr>
      <w:r w:rsidRPr="002771C4">
        <w:rPr>
          <w:color w:val="000000" w:themeColor="text1"/>
        </w:rPr>
        <w:t>Communities will</w:t>
      </w:r>
      <w:r w:rsidR="0034377D">
        <w:rPr>
          <w:color w:val="000000" w:themeColor="text1"/>
        </w:rPr>
        <w:t xml:space="preserve"> also</w:t>
      </w:r>
      <w:r w:rsidRPr="002771C4">
        <w:rPr>
          <w:color w:val="000000" w:themeColor="text1"/>
        </w:rPr>
        <w:t xml:space="preserve"> benefit </w:t>
      </w:r>
      <w:r w:rsidR="00FE635B" w:rsidRPr="002771C4">
        <w:rPr>
          <w:color w:val="000000" w:themeColor="text1"/>
        </w:rPr>
        <w:t xml:space="preserve">directly </w:t>
      </w:r>
      <w:r w:rsidRPr="002771C4">
        <w:rPr>
          <w:color w:val="000000" w:themeColor="text1"/>
        </w:rPr>
        <w:t>from this project as they will be able to participate in better and more impactful</w:t>
      </w:r>
      <w:r w:rsidR="00FE635B" w:rsidRPr="002771C4">
        <w:rPr>
          <w:color w:val="000000" w:themeColor="text1"/>
        </w:rPr>
        <w:t xml:space="preserve"> projects</w:t>
      </w:r>
      <w:r w:rsidRPr="002771C4">
        <w:rPr>
          <w:color w:val="000000" w:themeColor="text1"/>
        </w:rPr>
        <w:t>.</w:t>
      </w:r>
    </w:p>
    <w:p w14:paraId="537F5D5B" w14:textId="408CECFB" w:rsidR="00495D2D" w:rsidRPr="002771C4" w:rsidRDefault="00495D2D" w:rsidP="00332050">
      <w:pPr>
        <w:pBdr>
          <w:top w:val="nil"/>
          <w:left w:val="nil"/>
          <w:bottom w:val="nil"/>
          <w:right w:val="nil"/>
          <w:between w:val="nil"/>
        </w:pBdr>
        <w:spacing w:after="0" w:line="240" w:lineRule="auto"/>
        <w:rPr>
          <w:color w:val="000000" w:themeColor="text1"/>
        </w:rPr>
      </w:pPr>
      <w:r w:rsidRPr="002771C4">
        <w:rPr>
          <w:color w:val="000000" w:themeColor="text1"/>
        </w:rPr>
        <w:t>Although the project’s focus is to support community engagement</w:t>
      </w:r>
      <w:r w:rsidR="00E22AA3">
        <w:rPr>
          <w:color w:val="000000" w:themeColor="text1"/>
        </w:rPr>
        <w:t xml:space="preserve"> primarily</w:t>
      </w:r>
      <w:r w:rsidRPr="002771C4">
        <w:rPr>
          <w:color w:val="000000" w:themeColor="text1"/>
        </w:rPr>
        <w:t xml:space="preserve"> </w:t>
      </w:r>
      <w:r w:rsidR="0034377D" w:rsidRPr="002771C4">
        <w:rPr>
          <w:color w:val="000000" w:themeColor="text1"/>
        </w:rPr>
        <w:t>through</w:t>
      </w:r>
      <w:r w:rsidRPr="002771C4">
        <w:rPr>
          <w:color w:val="000000" w:themeColor="text1"/>
        </w:rPr>
        <w:t xml:space="preserve"> the planning process, there are wider benefits which will support community archaeology whether undertaken as part of large infrastructure programmes, through lottery funding (large landscape partnerships or individual group grants) or </w:t>
      </w:r>
      <w:r w:rsidR="00E22AA3" w:rsidRPr="002771C4">
        <w:rPr>
          <w:color w:val="000000" w:themeColor="text1"/>
        </w:rPr>
        <w:t>self-organised</w:t>
      </w:r>
      <w:r w:rsidR="00856C34" w:rsidRPr="002771C4">
        <w:rPr>
          <w:color w:val="000000" w:themeColor="text1"/>
        </w:rPr>
        <w:t xml:space="preserve"> </w:t>
      </w:r>
      <w:r w:rsidRPr="002771C4">
        <w:rPr>
          <w:color w:val="000000" w:themeColor="text1"/>
        </w:rPr>
        <w:t xml:space="preserve">community </w:t>
      </w:r>
      <w:r w:rsidR="00856C34" w:rsidRPr="002771C4">
        <w:rPr>
          <w:color w:val="000000" w:themeColor="text1"/>
        </w:rPr>
        <w:t xml:space="preserve">and society </w:t>
      </w:r>
      <w:r w:rsidRPr="002771C4">
        <w:rPr>
          <w:color w:val="000000" w:themeColor="text1"/>
        </w:rPr>
        <w:t>projects.</w:t>
      </w:r>
    </w:p>
    <w:p w14:paraId="6A08E565" w14:textId="7133E009" w:rsidR="00EE0F9D" w:rsidRPr="002771C4" w:rsidRDefault="00EE0F9D" w:rsidP="00332050">
      <w:pPr>
        <w:spacing w:line="240" w:lineRule="auto"/>
        <w:rPr>
          <w:color w:val="000000" w:themeColor="text1"/>
        </w:rPr>
      </w:pPr>
    </w:p>
    <w:p w14:paraId="42ACA979" w14:textId="44421DA2" w:rsidR="00221D51" w:rsidRPr="00E22AA3" w:rsidRDefault="00221D51" w:rsidP="00E22AA3">
      <w:pPr>
        <w:pStyle w:val="ListParagraph"/>
        <w:numPr>
          <w:ilvl w:val="0"/>
          <w:numId w:val="21"/>
        </w:numPr>
        <w:spacing w:line="240" w:lineRule="auto"/>
        <w:rPr>
          <w:b/>
          <w:bCs/>
          <w:color w:val="000000" w:themeColor="text1"/>
        </w:rPr>
      </w:pPr>
      <w:r w:rsidRPr="00E22AA3">
        <w:rPr>
          <w:b/>
          <w:bCs/>
          <w:color w:val="000000" w:themeColor="text1"/>
        </w:rPr>
        <w:t>Historic England Research Agenda</w:t>
      </w:r>
    </w:p>
    <w:p w14:paraId="74EE7027" w14:textId="77777777" w:rsidR="00221D51" w:rsidRPr="002771C4" w:rsidRDefault="00221D51" w:rsidP="00332050">
      <w:pPr>
        <w:spacing w:line="240" w:lineRule="auto"/>
        <w:rPr>
          <w:color w:val="000000" w:themeColor="text1"/>
        </w:rPr>
      </w:pPr>
      <w:r w:rsidRPr="002771C4">
        <w:rPr>
          <w:color w:val="000000" w:themeColor="text1"/>
        </w:rPr>
        <w:t>#SKILLS</w:t>
      </w:r>
    </w:p>
    <w:p w14:paraId="7A518944" w14:textId="77777777" w:rsidR="00221D51" w:rsidRPr="00505F7B" w:rsidRDefault="00221D51" w:rsidP="00332050">
      <w:pPr>
        <w:pStyle w:val="Heading2"/>
        <w:spacing w:line="240" w:lineRule="auto"/>
        <w:rPr>
          <w:rFonts w:asciiTheme="majorHAnsi" w:hAnsiTheme="majorHAnsi" w:cstheme="majorHAnsi"/>
          <w:color w:val="000000" w:themeColor="text1"/>
          <w:sz w:val="22"/>
          <w:szCs w:val="22"/>
        </w:rPr>
      </w:pPr>
      <w:r w:rsidRPr="00505F7B">
        <w:rPr>
          <w:rFonts w:asciiTheme="majorHAnsi" w:hAnsiTheme="majorHAnsi" w:cstheme="majorHAnsi"/>
          <w:color w:val="000000" w:themeColor="text1"/>
          <w:sz w:val="22"/>
          <w:szCs w:val="22"/>
        </w:rPr>
        <w:t xml:space="preserve">Working more effectively </w:t>
      </w:r>
    </w:p>
    <w:p w14:paraId="250BF4B5" w14:textId="77777777" w:rsidR="00221D51" w:rsidRPr="002771C4" w:rsidRDefault="00221D51" w:rsidP="00332050">
      <w:pPr>
        <w:numPr>
          <w:ilvl w:val="0"/>
          <w:numId w:val="1"/>
        </w:numPr>
        <w:pBdr>
          <w:top w:val="nil"/>
          <w:left w:val="nil"/>
          <w:bottom w:val="nil"/>
          <w:right w:val="nil"/>
          <w:between w:val="nil"/>
        </w:pBdr>
        <w:spacing w:line="240" w:lineRule="auto"/>
        <w:rPr>
          <w:color w:val="000000" w:themeColor="text1"/>
        </w:rPr>
      </w:pPr>
      <w:r w:rsidRPr="002771C4">
        <w:rPr>
          <w:color w:val="000000" w:themeColor="text1"/>
        </w:rPr>
        <w:t>What benchmarks and approaches can be developed to improve standards of work where needed and demonstrate the impact of investigative research in the historic environment?</w:t>
      </w:r>
    </w:p>
    <w:p w14:paraId="66C1EDC4" w14:textId="6B3EA0DC" w:rsidR="00C52D7A" w:rsidRPr="002771C4" w:rsidRDefault="00AF7BDE" w:rsidP="00332050">
      <w:pPr>
        <w:spacing w:line="240" w:lineRule="auto"/>
        <w:rPr>
          <w:color w:val="000000" w:themeColor="text1"/>
        </w:rPr>
      </w:pPr>
      <w:r w:rsidRPr="002771C4">
        <w:rPr>
          <w:color w:val="000000" w:themeColor="text1"/>
        </w:rPr>
        <w:lastRenderedPageBreak/>
        <w:t>Th</w:t>
      </w:r>
      <w:r w:rsidR="00766D12" w:rsidRPr="002771C4">
        <w:rPr>
          <w:color w:val="000000" w:themeColor="text1"/>
        </w:rPr>
        <w:t xml:space="preserve">e proposed </w:t>
      </w:r>
      <w:r w:rsidRPr="002771C4">
        <w:rPr>
          <w:color w:val="000000" w:themeColor="text1"/>
        </w:rPr>
        <w:t xml:space="preserve">suite of guidance will support the </w:t>
      </w:r>
      <w:r w:rsidR="00F406C6" w:rsidRPr="002771C4">
        <w:rPr>
          <w:color w:val="000000" w:themeColor="text1"/>
        </w:rPr>
        <w:t>historic environment</w:t>
      </w:r>
      <w:r w:rsidRPr="002771C4">
        <w:rPr>
          <w:color w:val="000000" w:themeColor="text1"/>
        </w:rPr>
        <w:t xml:space="preserve"> sector deliver </w:t>
      </w:r>
      <w:r w:rsidR="009C06DE" w:rsidRPr="002771C4">
        <w:rPr>
          <w:color w:val="000000" w:themeColor="text1"/>
        </w:rPr>
        <w:t>a better standard of community engagement</w:t>
      </w:r>
      <w:r w:rsidR="00AF4349" w:rsidRPr="002771C4">
        <w:rPr>
          <w:color w:val="000000" w:themeColor="text1"/>
        </w:rPr>
        <w:t xml:space="preserve"> </w:t>
      </w:r>
      <w:r w:rsidR="00AF4349" w:rsidRPr="00505F7B">
        <w:rPr>
          <w:color w:val="000000" w:themeColor="text1"/>
        </w:rPr>
        <w:t xml:space="preserve">projects, engage with communities, support </w:t>
      </w:r>
      <w:r w:rsidR="00E22AA3" w:rsidRPr="00E22AA3">
        <w:rPr>
          <w:color w:val="000000" w:themeColor="text1"/>
        </w:rPr>
        <w:t>wellbeing,</w:t>
      </w:r>
      <w:r w:rsidR="00AF4349" w:rsidRPr="00505F7B">
        <w:rPr>
          <w:color w:val="000000" w:themeColor="text1"/>
        </w:rPr>
        <w:t xml:space="preserve"> and </w:t>
      </w:r>
      <w:r w:rsidR="00E354CE" w:rsidRPr="00505F7B">
        <w:rPr>
          <w:color w:val="000000" w:themeColor="text1"/>
        </w:rPr>
        <w:t>unlock</w:t>
      </w:r>
      <w:r w:rsidR="00AF4349" w:rsidRPr="00505F7B">
        <w:rPr>
          <w:color w:val="000000" w:themeColor="text1"/>
        </w:rPr>
        <w:t xml:space="preserve"> a potential research dividend through working with the voluntary sector.</w:t>
      </w:r>
      <w:r w:rsidR="009C06DE" w:rsidRPr="002771C4">
        <w:rPr>
          <w:color w:val="000000" w:themeColor="text1"/>
        </w:rPr>
        <w:t xml:space="preserve"> It will include sections on impact and evaluation and will provide a framework from which community engagement becomes a</w:t>
      </w:r>
      <w:r w:rsidR="002029F0" w:rsidRPr="002771C4">
        <w:rPr>
          <w:color w:val="000000" w:themeColor="text1"/>
        </w:rPr>
        <w:t xml:space="preserve"> core part of the investigative work undertaken.</w:t>
      </w:r>
      <w:r w:rsidR="00F406C6" w:rsidRPr="002771C4">
        <w:rPr>
          <w:color w:val="000000" w:themeColor="text1"/>
        </w:rPr>
        <w:t xml:space="preserve"> </w:t>
      </w:r>
    </w:p>
    <w:p w14:paraId="35C9F31D" w14:textId="67A5B55D" w:rsidR="00DF44FF" w:rsidRPr="009818A6" w:rsidRDefault="00460410" w:rsidP="00505F7B">
      <w:pPr>
        <w:pStyle w:val="ListParagraph"/>
        <w:numPr>
          <w:ilvl w:val="0"/>
          <w:numId w:val="21"/>
        </w:numPr>
        <w:spacing w:line="240" w:lineRule="auto"/>
        <w:rPr>
          <w:b/>
          <w:bCs/>
        </w:rPr>
      </w:pPr>
      <w:r w:rsidRPr="009818A6">
        <w:rPr>
          <w:b/>
          <w:bCs/>
        </w:rPr>
        <w:t>21st-century Challenges for Archaeology</w:t>
      </w:r>
    </w:p>
    <w:p w14:paraId="742BD6DF" w14:textId="38CB7004" w:rsidR="00115F53" w:rsidRPr="009818A6" w:rsidRDefault="00460410" w:rsidP="00332050">
      <w:pPr>
        <w:spacing w:line="240" w:lineRule="auto"/>
      </w:pPr>
      <w:r w:rsidRPr="009818A6">
        <w:t xml:space="preserve">This programme of work led by CIfA and Historic England has </w:t>
      </w:r>
      <w:r w:rsidR="00505F7B" w:rsidRPr="00505F7B">
        <w:t>several</w:t>
      </w:r>
      <w:r w:rsidRPr="009818A6">
        <w:t xml:space="preserve"> </w:t>
      </w:r>
      <w:r w:rsidR="00F90D21" w:rsidRPr="009818A6">
        <w:t xml:space="preserve">goals and </w:t>
      </w:r>
      <w:hyperlink r:id="rId14" w:history="1">
        <w:r w:rsidR="00F90D21" w:rsidRPr="009818A6">
          <w:rPr>
            <w:rStyle w:val="Hyperlink"/>
          </w:rPr>
          <w:t>work</w:t>
        </w:r>
        <w:r w:rsidR="003E496C" w:rsidRPr="009818A6">
          <w:rPr>
            <w:rStyle w:val="Hyperlink"/>
          </w:rPr>
          <w:t xml:space="preserve"> </w:t>
        </w:r>
        <w:r w:rsidR="00F90D21" w:rsidRPr="009818A6">
          <w:rPr>
            <w:rStyle w:val="Hyperlink"/>
          </w:rPr>
          <w:t>packages</w:t>
        </w:r>
      </w:hyperlink>
      <w:r w:rsidR="00F90D21" w:rsidRPr="009818A6">
        <w:t xml:space="preserve">.  A public benefit work package is currently being added to the programme and this </w:t>
      </w:r>
      <w:r w:rsidR="009C1F6C" w:rsidRPr="009818A6">
        <w:t xml:space="preserve">project will support this sector strategic </w:t>
      </w:r>
      <w:r w:rsidR="00115F53" w:rsidRPr="009818A6">
        <w:t>programme of work.</w:t>
      </w:r>
    </w:p>
    <w:p w14:paraId="15D6AB52" w14:textId="38481CAD" w:rsidR="007B1856" w:rsidRPr="009818A6" w:rsidRDefault="007B1856" w:rsidP="00332050">
      <w:pPr>
        <w:spacing w:line="240" w:lineRule="auto"/>
        <w:rPr>
          <w:i/>
          <w:iCs/>
        </w:rPr>
      </w:pPr>
      <w:r w:rsidRPr="009818A6">
        <w:rPr>
          <w:i/>
          <w:iCs/>
        </w:rPr>
        <w:t>Pillar 2 – Appropriate Resourcing</w:t>
      </w:r>
    </w:p>
    <w:p w14:paraId="1F081F51" w14:textId="7F1DD621" w:rsidR="00C609CC" w:rsidRPr="009818A6" w:rsidRDefault="00D1278F" w:rsidP="00332050">
      <w:pPr>
        <w:spacing w:line="240" w:lineRule="auto"/>
      </w:pPr>
      <w:r w:rsidRPr="009818A6">
        <w:t>The</w:t>
      </w:r>
      <w:r w:rsidR="00C66A1D" w:rsidRPr="009818A6">
        <w:t xml:space="preserve"> project </w:t>
      </w:r>
      <w:r w:rsidR="00F85C6B" w:rsidRPr="008155B6">
        <w:t xml:space="preserve">intends to commission a consultant to undertake the work outlined and they will </w:t>
      </w:r>
      <w:r w:rsidR="00C66A1D" w:rsidRPr="008155B6">
        <w:t>be</w:t>
      </w:r>
      <w:r w:rsidR="00F85C6B" w:rsidRPr="008155B6">
        <w:t xml:space="preserve"> supported</w:t>
      </w:r>
      <w:r w:rsidR="00C66A1D" w:rsidRPr="009818A6">
        <w:t xml:space="preserve"> by an advisory board that will include </w:t>
      </w:r>
      <w:r w:rsidR="00CB4173">
        <w:t>CIf</w:t>
      </w:r>
      <w:r w:rsidR="00361EBE">
        <w:t>A</w:t>
      </w:r>
      <w:r w:rsidR="00CB4173">
        <w:t>, the</w:t>
      </w:r>
      <w:r w:rsidR="00C66A1D" w:rsidRPr="009818A6">
        <w:t xml:space="preserve"> CIfA </w:t>
      </w:r>
      <w:r w:rsidR="009818A6">
        <w:t>V&amp;C</w:t>
      </w:r>
      <w:r w:rsidR="00C66A1D" w:rsidRPr="009818A6">
        <w:t xml:space="preserve"> SIG</w:t>
      </w:r>
      <w:r w:rsidR="00496B86">
        <w:t>, ALGAO</w:t>
      </w:r>
      <w:r w:rsidR="00A17BAD">
        <w:t>,</w:t>
      </w:r>
      <w:r w:rsidR="004169CE">
        <w:t xml:space="preserve"> HE</w:t>
      </w:r>
      <w:r w:rsidR="00A17BAD">
        <w:t xml:space="preserve"> </w:t>
      </w:r>
      <w:r w:rsidR="00E20A88">
        <w:t xml:space="preserve">and representatives from the </w:t>
      </w:r>
      <w:r w:rsidR="00CB4173">
        <w:t xml:space="preserve">commercial and community </w:t>
      </w:r>
      <w:r w:rsidR="00E20A88">
        <w:t>archaeology sector</w:t>
      </w:r>
      <w:r w:rsidR="00361EBE">
        <w:t>.</w:t>
      </w:r>
      <w:r w:rsidR="002E7E97">
        <w:t xml:space="preserve"> </w:t>
      </w:r>
      <w:r w:rsidR="004A4CED">
        <w:t xml:space="preserve">CIfA staff members will be costed into the project, however the rest of the advisory board resource input will be </w:t>
      </w:r>
      <w:r w:rsidR="00F40160" w:rsidRPr="00F40160">
        <w:t xml:space="preserve">in kind and will provide a considerable amount of match funding. </w:t>
      </w:r>
      <w:r w:rsidR="00361EBE">
        <w:t xml:space="preserve">The </w:t>
      </w:r>
      <w:r w:rsidR="00645858">
        <w:t>makeup</w:t>
      </w:r>
      <w:r w:rsidR="00361EBE">
        <w:t xml:space="preserve"> of the </w:t>
      </w:r>
      <w:r w:rsidR="001A0E94">
        <w:t xml:space="preserve">advisory board will be </w:t>
      </w:r>
      <w:r w:rsidR="00145BD2">
        <w:t xml:space="preserve">agreed on project initiation and will follow CIfA </w:t>
      </w:r>
      <w:r w:rsidR="00BD086E">
        <w:t xml:space="preserve">and HE </w:t>
      </w:r>
      <w:r w:rsidR="00145BD2">
        <w:t>policies of inclusion and diversity.</w:t>
      </w:r>
      <w:r w:rsidR="009A4770">
        <w:t xml:space="preserve"> These can be found here </w:t>
      </w:r>
      <w:hyperlink r:id="rId15" w:history="1">
        <w:r w:rsidR="009A4770" w:rsidRPr="007F04E4">
          <w:rPr>
            <w:rStyle w:val="Hyperlink"/>
          </w:rPr>
          <w:t>https://historicengland.org.uk/about/who-we-are/heritage-belongs-to-everyone/</w:t>
        </w:r>
      </w:hyperlink>
      <w:r w:rsidR="009A4770">
        <w:t xml:space="preserve"> and </w:t>
      </w:r>
      <w:r w:rsidR="00683C89" w:rsidRPr="00683C89">
        <w:t>https://www.archaeologists.net/practices/equality/introduction</w:t>
      </w:r>
      <w:r w:rsidR="00683C89">
        <w:t>.</w:t>
      </w:r>
    </w:p>
    <w:p w14:paraId="4180F349" w14:textId="44448AC7" w:rsidR="007B1856" w:rsidRPr="009818A6" w:rsidRDefault="000A1547" w:rsidP="00332050">
      <w:pPr>
        <w:spacing w:line="240" w:lineRule="auto"/>
      </w:pPr>
      <w:r w:rsidRPr="009818A6">
        <w:t>If there are elements of guidance that</w:t>
      </w:r>
      <w:r w:rsidR="00C609CC" w:rsidRPr="009818A6">
        <w:t xml:space="preserve"> already exist </w:t>
      </w:r>
      <w:r w:rsidRPr="009818A6">
        <w:t xml:space="preserve">in the sector, the project will not </w:t>
      </w:r>
      <w:r w:rsidR="00A5728B">
        <w:t xml:space="preserve">seek to </w:t>
      </w:r>
      <w:r w:rsidRPr="009818A6">
        <w:t>rewrite t</w:t>
      </w:r>
      <w:r w:rsidR="00C609CC" w:rsidRPr="009818A6">
        <w:t>hese</w:t>
      </w:r>
      <w:r w:rsidRPr="009818A6">
        <w:t>, but will link</w:t>
      </w:r>
      <w:r w:rsidR="00A5728B">
        <w:t>/</w:t>
      </w:r>
      <w:r w:rsidR="009D0423" w:rsidRPr="009818A6">
        <w:t>signpost</w:t>
      </w:r>
      <w:r w:rsidR="00A5728B">
        <w:t xml:space="preserve"> to them</w:t>
      </w:r>
      <w:r w:rsidR="009D0423" w:rsidRPr="009818A6">
        <w:t>.</w:t>
      </w:r>
      <w:r w:rsidR="00C25E03">
        <w:t xml:space="preserve"> Similarly, t</w:t>
      </w:r>
      <w:r w:rsidR="009D0423" w:rsidRPr="009818A6">
        <w:t xml:space="preserve">here is </w:t>
      </w:r>
      <w:r w:rsidR="00C25E03">
        <w:t xml:space="preserve">also </w:t>
      </w:r>
      <w:r w:rsidR="009D0423" w:rsidRPr="009818A6">
        <w:t>a lot of relevant guidance in the cultural heritage sector associated with volunteer management</w:t>
      </w:r>
      <w:r w:rsidR="00AC5AB0" w:rsidRPr="009818A6">
        <w:t>, fund raising and project management</w:t>
      </w:r>
      <w:r w:rsidR="00584904" w:rsidRPr="009818A6">
        <w:t>;</w:t>
      </w:r>
      <w:r w:rsidR="00AC5AB0" w:rsidRPr="009818A6">
        <w:t xml:space="preserve"> the project will identify these and signpost rather than recreate. However, there is a real need to fill the gaps directly associated with community engagement on archaeological projects</w:t>
      </w:r>
      <w:r w:rsidR="006638E1" w:rsidRPr="009818A6">
        <w:t xml:space="preserve"> as well as bring</w:t>
      </w:r>
      <w:r w:rsidR="002771C4">
        <w:t>ing</w:t>
      </w:r>
      <w:r w:rsidR="006638E1" w:rsidRPr="009818A6">
        <w:t xml:space="preserve"> together other cultural heritage resources together in a more accessible format.</w:t>
      </w:r>
    </w:p>
    <w:p w14:paraId="76EFFE7A" w14:textId="720F4EC6" w:rsidR="005B0962" w:rsidRPr="009818A6" w:rsidRDefault="00997649" w:rsidP="00332050">
      <w:pPr>
        <w:spacing w:line="240" w:lineRule="auto"/>
      </w:pPr>
      <w:r w:rsidRPr="009818A6">
        <w:t>It is intended that</w:t>
      </w:r>
      <w:r w:rsidR="001C2023">
        <w:t xml:space="preserve"> there will be a regular review of the Toolkit guidance</w:t>
      </w:r>
      <w:r w:rsidR="0034590E">
        <w:t xml:space="preserve"> </w:t>
      </w:r>
      <w:r w:rsidR="001C2023">
        <w:t xml:space="preserve">and that the </w:t>
      </w:r>
      <w:r w:rsidR="002A7648">
        <w:t xml:space="preserve">V&amp;C </w:t>
      </w:r>
      <w:r w:rsidRPr="009818A6">
        <w:t>SIG</w:t>
      </w:r>
      <w:r w:rsidR="002771C4">
        <w:t xml:space="preserve"> (via CIfA)</w:t>
      </w:r>
      <w:r w:rsidRPr="009818A6">
        <w:t xml:space="preserve"> w</w:t>
      </w:r>
      <w:r w:rsidR="00B3141B" w:rsidRPr="009818A6">
        <w:t>ill keep the resources up to date</w:t>
      </w:r>
      <w:r w:rsidR="00ED05FF" w:rsidRPr="009818A6">
        <w:t xml:space="preserve">, including adding new resources and case studies </w:t>
      </w:r>
      <w:r w:rsidR="00A7012C">
        <w:t xml:space="preserve">to the public benefit webpages that will be signposted from the Toolkit (where relevant and </w:t>
      </w:r>
      <w:r w:rsidR="00ED05FF" w:rsidRPr="009818A6">
        <w:t>as appropriate</w:t>
      </w:r>
      <w:r w:rsidR="00A7012C">
        <w:t>). This will</w:t>
      </w:r>
      <w:r w:rsidR="002771C4">
        <w:t xml:space="preserve"> help</w:t>
      </w:r>
      <w:r w:rsidR="00A7012C">
        <w:t xml:space="preserve"> to</w:t>
      </w:r>
      <w:r w:rsidR="002771C4">
        <w:t xml:space="preserve"> </w:t>
      </w:r>
      <w:r w:rsidR="00D15FB2" w:rsidRPr="009818A6">
        <w:t>ensur</w:t>
      </w:r>
      <w:r w:rsidR="002771C4">
        <w:t>e</w:t>
      </w:r>
      <w:r w:rsidR="00D15FB2" w:rsidRPr="009818A6">
        <w:t xml:space="preserve"> the</w:t>
      </w:r>
      <w:r w:rsidR="00A7012C">
        <w:t xml:space="preserve"> </w:t>
      </w:r>
      <w:r w:rsidR="00D15FB2" w:rsidRPr="009818A6">
        <w:t>future sustainability</w:t>
      </w:r>
      <w:r w:rsidR="00A7012C">
        <w:t xml:space="preserve"> of the Toolkit and the guidance provided</w:t>
      </w:r>
      <w:r w:rsidR="000A083C">
        <w:t xml:space="preserve"> and would be</w:t>
      </w:r>
      <w:r w:rsidR="00555130" w:rsidRPr="009818A6">
        <w:t xml:space="preserve"> undertaken</w:t>
      </w:r>
      <w:r w:rsidR="00B3141B" w:rsidRPr="009818A6">
        <w:t xml:space="preserve"> </w:t>
      </w:r>
      <w:r w:rsidR="005B0962" w:rsidRPr="009818A6">
        <w:t xml:space="preserve">as part of the CIfA </w:t>
      </w:r>
      <w:r w:rsidR="0034590E">
        <w:t xml:space="preserve">V&amp;C </w:t>
      </w:r>
      <w:r w:rsidR="005B0962" w:rsidRPr="009818A6">
        <w:t>SIG</w:t>
      </w:r>
      <w:r w:rsidR="00555130" w:rsidRPr="009818A6">
        <w:t>’s</w:t>
      </w:r>
      <w:r w:rsidR="005B0962" w:rsidRPr="009818A6">
        <w:t xml:space="preserve"> remit</w:t>
      </w:r>
      <w:r w:rsidR="00ED05FF" w:rsidRPr="009818A6">
        <w:t xml:space="preserve">. </w:t>
      </w:r>
      <w:r w:rsidR="005B0962" w:rsidRPr="009818A6">
        <w:t xml:space="preserve"> </w:t>
      </w:r>
    </w:p>
    <w:p w14:paraId="6F1A8325" w14:textId="7F32177F" w:rsidR="000F1F52" w:rsidRPr="00DB027A" w:rsidRDefault="00555130" w:rsidP="00332050">
      <w:pPr>
        <w:spacing w:line="240" w:lineRule="auto"/>
      </w:pPr>
      <w:r w:rsidRPr="0034590E">
        <w:t>It is also intended that t</w:t>
      </w:r>
      <w:r w:rsidR="009D4A86" w:rsidRPr="0034590E">
        <w:t>he</w:t>
      </w:r>
      <w:r w:rsidR="0034590E">
        <w:t xml:space="preserve"> V&amp;C</w:t>
      </w:r>
      <w:r w:rsidR="009D4A86" w:rsidRPr="0034590E">
        <w:t xml:space="preserve"> SIG </w:t>
      </w:r>
      <w:r w:rsidRPr="0034590E">
        <w:t>will</w:t>
      </w:r>
      <w:r w:rsidR="008212DD" w:rsidRPr="0034590E">
        <w:t xml:space="preserve"> </w:t>
      </w:r>
      <w:r w:rsidR="009D4A86" w:rsidRPr="0034590E">
        <w:t xml:space="preserve">run </w:t>
      </w:r>
      <w:r w:rsidR="009C61AB" w:rsidRPr="0034590E">
        <w:t>(</w:t>
      </w:r>
      <w:r w:rsidR="008212DD" w:rsidRPr="0034590E">
        <w:t>as part of its remit</w:t>
      </w:r>
      <w:r w:rsidR="009C61AB" w:rsidRPr="0034590E">
        <w:t xml:space="preserve">) </w:t>
      </w:r>
      <w:r w:rsidR="009D4A86" w:rsidRPr="0034590E">
        <w:t>a similar survey to the recent local authority planning archaeologists survey</w:t>
      </w:r>
      <w:r w:rsidR="000752D3" w:rsidRPr="0034590E">
        <w:t xml:space="preserve"> two years after the publication of the</w:t>
      </w:r>
      <w:r w:rsidR="002771C4">
        <w:t xml:space="preserve"> Toolkit</w:t>
      </w:r>
      <w:r w:rsidR="000752D3" w:rsidRPr="0034590E">
        <w:t xml:space="preserve"> to assess</w:t>
      </w:r>
      <w:r w:rsidR="009C61AB" w:rsidRPr="0034590E">
        <w:t xml:space="preserve"> if there ha</w:t>
      </w:r>
      <w:r w:rsidR="002771C4">
        <w:t>s</w:t>
      </w:r>
      <w:r w:rsidR="009C61AB" w:rsidRPr="0034590E">
        <w:t xml:space="preserve"> been any perceived improvement in the </w:t>
      </w:r>
      <w:r w:rsidR="0027117E" w:rsidRPr="0034590E">
        <w:t>process.</w:t>
      </w:r>
      <w:r w:rsidR="008212DD" w:rsidRPr="0034590E">
        <w:t xml:space="preserve"> This would contribute to the evaluation process of the project.</w:t>
      </w:r>
    </w:p>
    <w:p w14:paraId="2CC2EFDF" w14:textId="52284CE3" w:rsidR="00827D55" w:rsidRPr="00CB268C" w:rsidRDefault="00281A08" w:rsidP="00332050">
      <w:pPr>
        <w:spacing w:line="240" w:lineRule="auto"/>
        <w:rPr>
          <w:i/>
          <w:iCs/>
        </w:rPr>
      </w:pPr>
      <w:r w:rsidRPr="00CB268C">
        <w:rPr>
          <w:i/>
          <w:iCs/>
        </w:rPr>
        <w:t>Pillar 3 – Public Support</w:t>
      </w:r>
    </w:p>
    <w:p w14:paraId="4D7657A3" w14:textId="7ADD8234" w:rsidR="005C6EF7" w:rsidRDefault="000F1F52" w:rsidP="005C6EF7">
      <w:pPr>
        <w:spacing w:line="240" w:lineRule="auto"/>
      </w:pPr>
      <w:r w:rsidRPr="00DB027A">
        <w:t>The project originated from a cross community archaeology sector meeting held by the CBA in 2019</w:t>
      </w:r>
      <w:r w:rsidR="00185472" w:rsidRPr="00DB027A">
        <w:t xml:space="preserve"> and one of the actions from this meeting was for the</w:t>
      </w:r>
      <w:r w:rsidR="00DB027A">
        <w:t xml:space="preserve"> V&amp;C</w:t>
      </w:r>
      <w:r w:rsidR="00185472" w:rsidRPr="00DB027A">
        <w:t xml:space="preserve"> SIG to take this proposal forward. </w:t>
      </w:r>
      <w:r w:rsidR="001F0123" w:rsidRPr="00DB027A">
        <w:t xml:space="preserve">This meeting was attended by </w:t>
      </w:r>
      <w:r w:rsidR="001F0123" w:rsidRPr="002771C4">
        <w:t xml:space="preserve">representatives of the CBA, CIfA, Historic Environment Scotland, Archaeology Scotland and other </w:t>
      </w:r>
      <w:r w:rsidR="00BB0257" w:rsidRPr="002771C4">
        <w:t xml:space="preserve">large scale </w:t>
      </w:r>
      <w:r w:rsidR="001F0123" w:rsidRPr="002771C4">
        <w:t xml:space="preserve">community projects in England, </w:t>
      </w:r>
      <w:proofErr w:type="gramStart"/>
      <w:r w:rsidR="001F0123" w:rsidRPr="002771C4">
        <w:t>Scotland</w:t>
      </w:r>
      <w:proofErr w:type="gramEnd"/>
      <w:r w:rsidR="001F0123" w:rsidRPr="002771C4">
        <w:t xml:space="preserve"> and Wales.</w:t>
      </w:r>
      <w:r w:rsidR="00185472" w:rsidRPr="00DB027A">
        <w:t xml:space="preserve"> </w:t>
      </w:r>
      <w:r w:rsidR="005C6EF7" w:rsidRPr="00DB027A">
        <w:t xml:space="preserve">The CIfA </w:t>
      </w:r>
      <w:r w:rsidR="005C6EF7">
        <w:t>V&amp;C</w:t>
      </w:r>
      <w:r w:rsidR="005C6EF7" w:rsidRPr="00DB027A">
        <w:t xml:space="preserve"> SIG works closely with the CBA, which has a representative on the SIG’s committee</w:t>
      </w:r>
      <w:r w:rsidR="005C6EF7">
        <w:t>.</w:t>
      </w:r>
      <w:r w:rsidR="005C6EF7" w:rsidRPr="00DB027A">
        <w:t xml:space="preserve"> </w:t>
      </w:r>
    </w:p>
    <w:p w14:paraId="1ED8FFA0" w14:textId="76881A25" w:rsidR="00C03A8D" w:rsidRPr="00DB027A" w:rsidRDefault="00C03A8D" w:rsidP="005C6EF7">
      <w:pPr>
        <w:spacing w:line="240" w:lineRule="auto"/>
      </w:pPr>
      <w:r>
        <w:t xml:space="preserve">As </w:t>
      </w:r>
      <w:r w:rsidR="005203D1">
        <w:t xml:space="preserve">one of </w:t>
      </w:r>
      <w:r>
        <w:t xml:space="preserve">the </w:t>
      </w:r>
      <w:r w:rsidR="005203D1">
        <w:t xml:space="preserve">focuses of the </w:t>
      </w:r>
      <w:r>
        <w:t xml:space="preserve">project is supporting local authority </w:t>
      </w:r>
      <w:r w:rsidR="00751380">
        <w:t>advisors</w:t>
      </w:r>
      <w:r w:rsidR="005203D1">
        <w:t>,</w:t>
      </w:r>
      <w:r>
        <w:t xml:space="preserve"> it has the support of ALGAO, who will be represented on the </w:t>
      </w:r>
      <w:r w:rsidR="00CB268C">
        <w:t>project/</w:t>
      </w:r>
      <w:r>
        <w:t xml:space="preserve">advisory board. </w:t>
      </w:r>
    </w:p>
    <w:p w14:paraId="55B142ED" w14:textId="4C5BF919" w:rsidR="005C6EF7" w:rsidRPr="00DB027A" w:rsidRDefault="005C6EF7" w:rsidP="00332050">
      <w:pPr>
        <w:spacing w:line="240" w:lineRule="auto"/>
      </w:pPr>
      <w:r>
        <w:t>Although th</w:t>
      </w:r>
      <w:r w:rsidR="0046679A">
        <w:t>e prime focus of this</w:t>
      </w:r>
      <w:r>
        <w:t xml:space="preserve"> proposal is on supporting community engagement in the planning system and through other schemes that involve professional community archaeologists</w:t>
      </w:r>
      <w:r w:rsidR="0046679A">
        <w:t>,</w:t>
      </w:r>
      <w:r>
        <w:t xml:space="preserve"> the benefits </w:t>
      </w:r>
      <w:r>
        <w:lastRenderedPageBreak/>
        <w:t>are applicable to wider audiences across the UK including community groups and societies undertaking autonomous projects.</w:t>
      </w:r>
      <w:r w:rsidR="00262E45">
        <w:t xml:space="preserve">  The CBA will have a role in promoting the </w:t>
      </w:r>
      <w:r w:rsidR="00287514">
        <w:t>T</w:t>
      </w:r>
      <w:r w:rsidR="00262E45">
        <w:t>oolkit to their membership</w:t>
      </w:r>
      <w:r w:rsidR="00074ECE">
        <w:t xml:space="preserve"> and providing further public benefit from the project</w:t>
      </w:r>
      <w:r w:rsidR="00287514">
        <w:t>.</w:t>
      </w:r>
    </w:p>
    <w:p w14:paraId="09E21398" w14:textId="0CB54CE2" w:rsidR="00DF22F1" w:rsidRPr="00DB027A" w:rsidRDefault="00DF22F1" w:rsidP="00332050">
      <w:pPr>
        <w:spacing w:line="240" w:lineRule="auto"/>
      </w:pPr>
      <w:r w:rsidRPr="00DB027A">
        <w:t>The key stakeholders have been identified</w:t>
      </w:r>
      <w:r w:rsidR="00BF5F41" w:rsidRPr="00DB027A">
        <w:t xml:space="preserve"> </w:t>
      </w:r>
      <w:r w:rsidR="00EF645D" w:rsidRPr="00DB027A">
        <w:t xml:space="preserve">in </w:t>
      </w:r>
      <w:r w:rsidR="00DB027A">
        <w:t>this proposal</w:t>
      </w:r>
      <w:r w:rsidR="00074ECE">
        <w:t xml:space="preserve"> (see stakeholder section)</w:t>
      </w:r>
      <w:r w:rsidR="000224D2" w:rsidRPr="00DB027A">
        <w:t>, and one of the tasks</w:t>
      </w:r>
      <w:r w:rsidR="00DB027A">
        <w:t xml:space="preserve"> identified</w:t>
      </w:r>
      <w:r w:rsidR="000224D2" w:rsidRPr="00DB027A">
        <w:t xml:space="preserve"> is to undertake </w:t>
      </w:r>
      <w:r w:rsidR="004E7A05">
        <w:t>sector</w:t>
      </w:r>
      <w:r w:rsidR="000224D2" w:rsidRPr="00DB027A">
        <w:t xml:space="preserve"> </w:t>
      </w:r>
      <w:r w:rsidR="004E7A05">
        <w:t xml:space="preserve">engagement and </w:t>
      </w:r>
      <w:r w:rsidR="000224D2" w:rsidRPr="00DB027A">
        <w:t>consultation to identify</w:t>
      </w:r>
      <w:r w:rsidR="00C370A9" w:rsidRPr="00DB027A">
        <w:t xml:space="preserve"> the different elements needed </w:t>
      </w:r>
      <w:r w:rsidR="00FB79C1">
        <w:t>for the Toolkit</w:t>
      </w:r>
      <w:r w:rsidR="00C370A9" w:rsidRPr="00DB027A">
        <w:t xml:space="preserve"> and to gather case studies</w:t>
      </w:r>
      <w:r w:rsidR="000A083C">
        <w:t xml:space="preserve"> that can be added to the public benefit webpages and signposted </w:t>
      </w:r>
      <w:proofErr w:type="gramStart"/>
      <w:r w:rsidR="000A083C">
        <w:t>to</w:t>
      </w:r>
      <w:proofErr w:type="gramEnd"/>
      <w:r w:rsidR="000A083C">
        <w:t xml:space="preserve"> accordingly</w:t>
      </w:r>
      <w:r w:rsidR="00C370A9" w:rsidRPr="00DB027A">
        <w:t>.</w:t>
      </w:r>
    </w:p>
    <w:p w14:paraId="201AA66A" w14:textId="4AF26B08" w:rsidR="005D498A" w:rsidRPr="00C20DD4" w:rsidRDefault="006561C5" w:rsidP="00332050">
      <w:pPr>
        <w:spacing w:line="240" w:lineRule="auto"/>
      </w:pPr>
      <w:r w:rsidRPr="00DB027A">
        <w:t>Th</w:t>
      </w:r>
      <w:r w:rsidR="00B33396" w:rsidRPr="00DB027A">
        <w:t>is prop</w:t>
      </w:r>
      <w:r w:rsidR="0080103C" w:rsidRPr="00DB027A">
        <w:t>o</w:t>
      </w:r>
      <w:r w:rsidR="00B33396" w:rsidRPr="00DB027A">
        <w:t xml:space="preserve">sal has been produced by </w:t>
      </w:r>
      <w:r w:rsidR="00FB79C1">
        <w:t xml:space="preserve">the </w:t>
      </w:r>
      <w:r w:rsidRPr="00DB027A">
        <w:t xml:space="preserve">CIfA </w:t>
      </w:r>
      <w:r w:rsidR="00FB79C1">
        <w:t xml:space="preserve">V&amp;C </w:t>
      </w:r>
      <w:r w:rsidRPr="00DB027A">
        <w:t>SIG</w:t>
      </w:r>
      <w:r w:rsidR="00F033FD" w:rsidRPr="00DB027A">
        <w:t xml:space="preserve">, which includes </w:t>
      </w:r>
      <w:r w:rsidR="003F304D" w:rsidRPr="00DB027A">
        <w:t xml:space="preserve">people working in community archaeology across the sector – in local authorities, national organisations, </w:t>
      </w:r>
      <w:r w:rsidR="00C20DD4" w:rsidRPr="00DB027A">
        <w:t>charities,</w:t>
      </w:r>
      <w:r w:rsidR="003F304D" w:rsidRPr="00DB027A">
        <w:t xml:space="preserve"> and commercial archaeological organisations. </w:t>
      </w:r>
    </w:p>
    <w:p w14:paraId="70241596" w14:textId="1C9F936C" w:rsidR="005D498A" w:rsidRPr="00C20DD4" w:rsidRDefault="005D498A" w:rsidP="00332050">
      <w:pPr>
        <w:spacing w:line="240" w:lineRule="auto"/>
        <w:rPr>
          <w:i/>
          <w:iCs/>
        </w:rPr>
      </w:pPr>
      <w:r w:rsidRPr="00C20DD4">
        <w:rPr>
          <w:i/>
          <w:iCs/>
        </w:rPr>
        <w:t>Pillar 4 – Capacity Development</w:t>
      </w:r>
    </w:p>
    <w:p w14:paraId="30E75267" w14:textId="48822E00" w:rsidR="005D498A" w:rsidRPr="00C20DD4" w:rsidRDefault="00D93583" w:rsidP="00332050">
      <w:pPr>
        <w:spacing w:line="240" w:lineRule="auto"/>
      </w:pPr>
      <w:r w:rsidRPr="00C20DD4">
        <w:t xml:space="preserve">Evaluating </w:t>
      </w:r>
      <w:r w:rsidR="00C61C35" w:rsidRPr="00C20DD4">
        <w:t xml:space="preserve">the </w:t>
      </w:r>
      <w:r w:rsidRPr="00C20DD4">
        <w:t xml:space="preserve">impact of community archaeology </w:t>
      </w:r>
      <w:r w:rsidR="00A820F9">
        <w:t xml:space="preserve">engagement </w:t>
      </w:r>
      <w:r w:rsidRPr="00C20DD4">
        <w:t>projects is one of the key areas for this piece of guidance</w:t>
      </w:r>
      <w:r w:rsidR="00C61C35" w:rsidRPr="00C20DD4">
        <w:t xml:space="preserve"> and </w:t>
      </w:r>
      <w:r w:rsidR="006A1EDC" w:rsidRPr="00C20DD4">
        <w:t>the</w:t>
      </w:r>
      <w:r w:rsidR="00C61C35" w:rsidRPr="00C20DD4">
        <w:t xml:space="preserve"> suite of guidance produced needs to be evaluated </w:t>
      </w:r>
      <w:r w:rsidR="006A1EDC">
        <w:t xml:space="preserve">after launch </w:t>
      </w:r>
      <w:r w:rsidR="00C61C35" w:rsidRPr="00C20DD4">
        <w:t>to see how successful it has been</w:t>
      </w:r>
      <w:r w:rsidR="00761825" w:rsidRPr="00C20DD4">
        <w:t xml:space="preserve"> in delivering the two project aims:</w:t>
      </w:r>
    </w:p>
    <w:p w14:paraId="7D0B3E43" w14:textId="77777777" w:rsidR="005021F5" w:rsidRPr="002771C4" w:rsidRDefault="005021F5" w:rsidP="005021F5">
      <w:pPr>
        <w:numPr>
          <w:ilvl w:val="0"/>
          <w:numId w:val="17"/>
        </w:numPr>
        <w:pBdr>
          <w:top w:val="nil"/>
          <w:left w:val="nil"/>
          <w:bottom w:val="nil"/>
          <w:right w:val="nil"/>
          <w:between w:val="nil"/>
        </w:pBdr>
        <w:spacing w:line="240" w:lineRule="auto"/>
      </w:pPr>
      <w:r w:rsidRPr="002771C4">
        <w:rPr>
          <w:color w:val="000000"/>
        </w:rPr>
        <w:t>To highlight and promote the value</w:t>
      </w:r>
      <w:r>
        <w:rPr>
          <w:color w:val="000000"/>
        </w:rPr>
        <w:t xml:space="preserve"> and role</w:t>
      </w:r>
      <w:r w:rsidRPr="002771C4">
        <w:rPr>
          <w:color w:val="000000"/>
        </w:rPr>
        <w:t xml:space="preserve"> that community engagement in archaeology </w:t>
      </w:r>
      <w:r>
        <w:rPr>
          <w:color w:val="000000"/>
        </w:rPr>
        <w:t>can play</w:t>
      </w:r>
      <w:r w:rsidRPr="002771C4">
        <w:rPr>
          <w:color w:val="000000"/>
        </w:rPr>
        <w:t xml:space="preserve"> to support the delivery of public benefit, so that it is </w:t>
      </w:r>
      <w:r>
        <w:rPr>
          <w:color w:val="000000"/>
        </w:rPr>
        <w:t xml:space="preserve">considered as an ethos and is </w:t>
      </w:r>
      <w:r w:rsidRPr="002771C4">
        <w:rPr>
          <w:color w:val="000000"/>
        </w:rPr>
        <w:t>embedded in practice rather than being considered an “add-on”</w:t>
      </w:r>
      <w:r>
        <w:rPr>
          <w:color w:val="000000"/>
        </w:rPr>
        <w:t xml:space="preserve"> – this is</w:t>
      </w:r>
      <w:r w:rsidRPr="002771C4">
        <w:rPr>
          <w:color w:val="000000"/>
        </w:rPr>
        <w:t xml:space="preserve"> with reference to work undertaken within the context of the planning system.</w:t>
      </w:r>
    </w:p>
    <w:p w14:paraId="5995A158" w14:textId="5EFD1BC5" w:rsidR="001470DE" w:rsidRPr="002771C4" w:rsidRDefault="001470DE" w:rsidP="00332050">
      <w:pPr>
        <w:numPr>
          <w:ilvl w:val="0"/>
          <w:numId w:val="17"/>
        </w:numPr>
        <w:pBdr>
          <w:top w:val="nil"/>
          <w:left w:val="nil"/>
          <w:bottom w:val="nil"/>
          <w:right w:val="nil"/>
          <w:between w:val="nil"/>
        </w:pBdr>
        <w:spacing w:line="240" w:lineRule="auto"/>
      </w:pPr>
      <w:r w:rsidRPr="002771C4">
        <w:rPr>
          <w:color w:val="000000"/>
        </w:rPr>
        <w:t xml:space="preserve">To improve the planning, </w:t>
      </w:r>
      <w:r w:rsidR="007D3C3F" w:rsidRPr="002771C4">
        <w:rPr>
          <w:color w:val="000000"/>
        </w:rPr>
        <w:t>management,</w:t>
      </w:r>
      <w:r w:rsidRPr="002771C4">
        <w:rPr>
          <w:color w:val="000000"/>
        </w:rPr>
        <w:t xml:space="preserve"> and delivery of community archaeology projects so that they support in a meaningful way the delivering of public benefit. </w:t>
      </w:r>
    </w:p>
    <w:p w14:paraId="3631F579" w14:textId="293EA8A2" w:rsidR="006D3E00" w:rsidRPr="00C20DD4" w:rsidRDefault="006D3E00" w:rsidP="00332050">
      <w:pPr>
        <w:spacing w:line="240" w:lineRule="auto"/>
      </w:pPr>
      <w:r w:rsidRPr="00C20DD4">
        <w:t>The first</w:t>
      </w:r>
      <w:r w:rsidR="00561950">
        <w:t xml:space="preserve"> aim</w:t>
      </w:r>
      <w:r w:rsidRPr="00C20DD4">
        <w:t xml:space="preserve"> is a </w:t>
      </w:r>
      <w:proofErr w:type="gramStart"/>
      <w:r w:rsidR="00DA3074" w:rsidRPr="00C20DD4">
        <w:t>longer term</w:t>
      </w:r>
      <w:proofErr w:type="gramEnd"/>
      <w:r w:rsidR="00DA3074" w:rsidRPr="00C20DD4">
        <w:t xml:space="preserve"> </w:t>
      </w:r>
      <w:r w:rsidRPr="00C20DD4">
        <w:t xml:space="preserve">culture change in the sector to embed the ethos of community engagement as </w:t>
      </w:r>
      <w:r w:rsidR="00DA3074" w:rsidRPr="00C20DD4">
        <w:t xml:space="preserve">the norm. This is going to be a challenge and will depend not just on this project but on other initiatives, for example Sadie </w:t>
      </w:r>
      <w:r w:rsidR="00CA3B0E" w:rsidRPr="00C20DD4">
        <w:t xml:space="preserve">Watson’s UKRI </w:t>
      </w:r>
      <w:r w:rsidR="003548DD" w:rsidRPr="00C20DD4">
        <w:t>initiative - Measuring, maximising and transforming public benefit from UK Government infrastructure investment in archaeology’</w:t>
      </w:r>
      <w:r w:rsidR="000A1F44" w:rsidRPr="00C20DD4">
        <w:t>,</w:t>
      </w:r>
      <w:r w:rsidR="003548DD" w:rsidRPr="00C20DD4">
        <w:t xml:space="preserve"> as well as </w:t>
      </w:r>
      <w:r w:rsidR="000A1F44" w:rsidRPr="00C20DD4">
        <w:t xml:space="preserve">broader public benefit initiatives that are underway by CIfA – </w:t>
      </w:r>
      <w:r w:rsidR="003144B3" w:rsidRPr="00C20DD4">
        <w:t xml:space="preserve">including the </w:t>
      </w:r>
      <w:r w:rsidR="00F339E4" w:rsidRPr="00C20DD4">
        <w:t>Delivering</w:t>
      </w:r>
      <w:r w:rsidR="00E74548" w:rsidRPr="00C20DD4">
        <w:t xml:space="preserve"> Public Benefit Professional Practice Paper (</w:t>
      </w:r>
      <w:r w:rsidR="003144B3" w:rsidRPr="00C20DD4">
        <w:t>published 27 September 2021)</w:t>
      </w:r>
      <w:r w:rsidR="00E74548" w:rsidRPr="00C20DD4">
        <w:t>,</w:t>
      </w:r>
      <w:r w:rsidR="00B317F5" w:rsidRPr="00C20DD4">
        <w:t xml:space="preserve">the </w:t>
      </w:r>
      <w:r w:rsidR="00E74548" w:rsidRPr="00C20DD4">
        <w:t>European Archaeology Council (EAC) guidance on public benefit (</w:t>
      </w:r>
      <w:r w:rsidR="004254AD">
        <w:t>fo</w:t>
      </w:r>
      <w:r w:rsidR="00E74548" w:rsidRPr="00C20DD4">
        <w:t>rt</w:t>
      </w:r>
      <w:r w:rsidR="00C40DF5" w:rsidRPr="00C20DD4">
        <w:t>h</w:t>
      </w:r>
      <w:r w:rsidR="00E74548" w:rsidRPr="00C20DD4">
        <w:t>coming) and other initi</w:t>
      </w:r>
      <w:r w:rsidR="00D36C27" w:rsidRPr="00C20DD4">
        <w:t>atives by national agencies, for example on promoting wellbeing in heritage.</w:t>
      </w:r>
    </w:p>
    <w:p w14:paraId="63BCF9CE" w14:textId="4EC887E5" w:rsidR="00D36C27" w:rsidRPr="004248CB" w:rsidRDefault="00D36C27" w:rsidP="00332050">
      <w:pPr>
        <w:spacing w:line="240" w:lineRule="auto"/>
      </w:pPr>
      <w:r w:rsidRPr="00075AC7">
        <w:t xml:space="preserve">The success of this project is that the </w:t>
      </w:r>
      <w:r w:rsidR="00FB79C1">
        <w:t>Toolkit</w:t>
      </w:r>
      <w:r w:rsidRPr="004248CB">
        <w:t xml:space="preserve"> becomes part of the solution to supporting the delivery of more impactful public benefit</w:t>
      </w:r>
      <w:r w:rsidR="005F20C8" w:rsidRPr="004248CB">
        <w:t xml:space="preserve"> </w:t>
      </w:r>
      <w:r w:rsidR="003F60A7">
        <w:t>and</w:t>
      </w:r>
      <w:r w:rsidR="005F20C8" w:rsidRPr="004248CB">
        <w:t xml:space="preserve"> it becomes one of the</w:t>
      </w:r>
      <w:r w:rsidR="004248CB">
        <w:t xml:space="preserve"> key drivers </w:t>
      </w:r>
      <w:r w:rsidR="005F20C8" w:rsidRPr="004248CB">
        <w:t>that helps the sector deliver better public benefit.</w:t>
      </w:r>
    </w:p>
    <w:p w14:paraId="4532F916" w14:textId="3BFF94A9" w:rsidR="00171817" w:rsidRPr="004248CB" w:rsidRDefault="00171817" w:rsidP="00332050">
      <w:pPr>
        <w:spacing w:line="240" w:lineRule="auto"/>
      </w:pPr>
      <w:r w:rsidRPr="00965F90">
        <w:t xml:space="preserve">Culture change also takes time, and it is proposed that the CIfA </w:t>
      </w:r>
      <w:r w:rsidR="00075AC7" w:rsidRPr="00965F90">
        <w:t xml:space="preserve">V&amp;C </w:t>
      </w:r>
      <w:r w:rsidRPr="00965F90">
        <w:t>SIG</w:t>
      </w:r>
      <w:r w:rsidR="004D674F" w:rsidRPr="00965F90">
        <w:t xml:space="preserve">, </w:t>
      </w:r>
      <w:r w:rsidR="004D674F" w:rsidRPr="008155B6">
        <w:t xml:space="preserve">with the support of CIfA undertakes targeted promotion </w:t>
      </w:r>
      <w:r w:rsidR="009C3CC7" w:rsidRPr="008155B6">
        <w:t>of the Toolkit and its contents,</w:t>
      </w:r>
      <w:r w:rsidR="004D674F" w:rsidRPr="008155B6">
        <w:t xml:space="preserve"> </w:t>
      </w:r>
      <w:proofErr w:type="gramStart"/>
      <w:r w:rsidR="004D674F" w:rsidRPr="008155B6">
        <w:t>organises</w:t>
      </w:r>
      <w:proofErr w:type="gramEnd"/>
      <w:r w:rsidR="009C3CC7" w:rsidRPr="008155B6">
        <w:t xml:space="preserve"> and delivers training workshops targeting different audiences and also</w:t>
      </w:r>
      <w:r w:rsidR="004D674F" w:rsidRPr="008155B6">
        <w:t xml:space="preserve"> </w:t>
      </w:r>
      <w:r w:rsidRPr="008155B6">
        <w:t>runs another survey</w:t>
      </w:r>
      <w:r w:rsidR="009C3CC7" w:rsidRPr="008155B6">
        <w:t>.</w:t>
      </w:r>
      <w:r w:rsidR="009C3CC7" w:rsidRPr="00965F90">
        <w:t xml:space="preserve"> The</w:t>
      </w:r>
      <w:r w:rsidR="009C3CC7">
        <w:t xml:space="preserve"> latter would be </w:t>
      </w:r>
      <w:r w:rsidRPr="004248CB">
        <w:t>based on the questions set out in the</w:t>
      </w:r>
      <w:r w:rsidR="0070183B">
        <w:t xml:space="preserve"> V&amp;C SIG</w:t>
      </w:r>
      <w:r w:rsidRPr="004248CB">
        <w:t xml:space="preserve"> 2020/21 local authority </w:t>
      </w:r>
      <w:r w:rsidR="002C6087">
        <w:t>advisor</w:t>
      </w:r>
      <w:r w:rsidRPr="004248CB">
        <w:t xml:space="preserve"> survey (which provides baseline results) to see whether there has been a marked change in the </w:t>
      </w:r>
      <w:r w:rsidR="00CB4603" w:rsidRPr="004248CB">
        <w:t xml:space="preserve">perception that the local authority </w:t>
      </w:r>
      <w:r w:rsidR="002C6087">
        <w:t>advisors</w:t>
      </w:r>
      <w:r w:rsidR="002C6087" w:rsidRPr="004248CB">
        <w:t xml:space="preserve"> </w:t>
      </w:r>
      <w:r w:rsidR="00CB4603" w:rsidRPr="004248CB">
        <w:t xml:space="preserve">have on the implementation of </w:t>
      </w:r>
      <w:r w:rsidR="00E66F69" w:rsidRPr="004248CB">
        <w:t xml:space="preserve">engaging community engagement in development led investigations. This will be undertaken around </w:t>
      </w:r>
      <w:r w:rsidR="00965F90">
        <w:t xml:space="preserve">3 </w:t>
      </w:r>
      <w:r w:rsidR="00E66F69" w:rsidRPr="004248CB">
        <w:t xml:space="preserve">years after the publication of the </w:t>
      </w:r>
      <w:r w:rsidR="00747CD7">
        <w:t>Toolkit</w:t>
      </w:r>
      <w:r w:rsidR="00E66F69" w:rsidRPr="004248CB">
        <w:t xml:space="preserve"> as part of the </w:t>
      </w:r>
      <w:r w:rsidR="00075AC7">
        <w:t xml:space="preserve">V&amp;C </w:t>
      </w:r>
      <w:r w:rsidR="00E66F69" w:rsidRPr="004248CB">
        <w:t xml:space="preserve">SIG’s </w:t>
      </w:r>
      <w:r w:rsidR="00747CD7" w:rsidRPr="004248CB">
        <w:t>r</w:t>
      </w:r>
      <w:r w:rsidR="00747CD7">
        <w:t>emit</w:t>
      </w:r>
      <w:r w:rsidR="00747CD7" w:rsidRPr="004248CB">
        <w:t xml:space="preserve"> </w:t>
      </w:r>
      <w:r w:rsidR="002152E6" w:rsidRPr="004248CB">
        <w:t xml:space="preserve">and will be at no cost to the project. </w:t>
      </w:r>
    </w:p>
    <w:p w14:paraId="71D57401" w14:textId="45D50FE0" w:rsidR="00DD554D" w:rsidRDefault="00612144" w:rsidP="00332050">
      <w:pPr>
        <w:spacing w:line="240" w:lineRule="auto"/>
      </w:pPr>
      <w:r w:rsidRPr="004248CB">
        <w:t>The second aim</w:t>
      </w:r>
      <w:r w:rsidR="005F20C8" w:rsidRPr="004248CB">
        <w:t xml:space="preserve"> </w:t>
      </w:r>
      <w:r w:rsidR="00422EBC" w:rsidRPr="004248CB">
        <w:t>may be more straightforward</w:t>
      </w:r>
      <w:r w:rsidR="00A73CE1" w:rsidRPr="004248CB">
        <w:t>,</w:t>
      </w:r>
      <w:r w:rsidR="00422EBC" w:rsidRPr="004248CB">
        <w:t xml:space="preserve"> as projects can be assessed at</w:t>
      </w:r>
      <w:r w:rsidR="009B38F4" w:rsidRPr="004248CB">
        <w:t xml:space="preserve"> the </w:t>
      </w:r>
      <w:r w:rsidR="00747CD7">
        <w:t>project design</w:t>
      </w:r>
      <w:r w:rsidR="00C52D7A">
        <w:t xml:space="preserve"> </w:t>
      </w:r>
      <w:r w:rsidR="00747CD7">
        <w:t>s</w:t>
      </w:r>
      <w:r w:rsidR="00422EBC" w:rsidRPr="004248CB">
        <w:t>tage</w:t>
      </w:r>
      <w:r w:rsidR="002F6C9D" w:rsidRPr="004248CB">
        <w:t xml:space="preserve">, and by the publication of </w:t>
      </w:r>
      <w:r w:rsidR="00051229" w:rsidRPr="004248CB">
        <w:t xml:space="preserve">community engagement </w:t>
      </w:r>
      <w:r w:rsidR="002F6C9D" w:rsidRPr="004248CB">
        <w:t>evaluation</w:t>
      </w:r>
      <w:r w:rsidR="00051229" w:rsidRPr="004248CB">
        <w:t>s</w:t>
      </w:r>
      <w:r w:rsidR="00A73CE1" w:rsidRPr="004248CB">
        <w:t xml:space="preserve">.  </w:t>
      </w:r>
      <w:r w:rsidR="00C40DF5" w:rsidRPr="004248CB">
        <w:t xml:space="preserve">Though, it will </w:t>
      </w:r>
      <w:r w:rsidR="00F94260">
        <w:t>s</w:t>
      </w:r>
      <w:r w:rsidR="00C40DF5" w:rsidRPr="004248CB">
        <w:t>till</w:t>
      </w:r>
      <w:r w:rsidR="00F94260">
        <w:t xml:space="preserve"> be</w:t>
      </w:r>
      <w:r w:rsidR="00C40DF5" w:rsidRPr="004248CB">
        <w:t xml:space="preserve"> difficult for the project team to be able to assess this impact</w:t>
      </w:r>
      <w:r w:rsidR="001D53A3" w:rsidRPr="004248CB">
        <w:t xml:space="preserve"> during the lifecycle of the project.</w:t>
      </w:r>
      <w:r w:rsidR="00DD554D">
        <w:t xml:space="preserve"> </w:t>
      </w:r>
    </w:p>
    <w:p w14:paraId="44341AA3" w14:textId="19CEEDCD" w:rsidR="00AB4E44" w:rsidRDefault="00DD554D" w:rsidP="00332050">
      <w:pPr>
        <w:spacing w:line="240" w:lineRule="auto"/>
      </w:pPr>
      <w:r w:rsidRPr="004248CB">
        <w:lastRenderedPageBreak/>
        <w:t>To</w:t>
      </w:r>
      <w:r w:rsidR="0027117E" w:rsidRPr="004248CB">
        <w:t xml:space="preserve"> assess the impact of the project, one of the tasks is to create an evaluation plan</w:t>
      </w:r>
      <w:r w:rsidR="00534F97" w:rsidRPr="004248CB">
        <w:t xml:space="preserve"> which will set out the measures of success and how these can be assessed. This will be </w:t>
      </w:r>
      <w:r>
        <w:t>compiled</w:t>
      </w:r>
      <w:r w:rsidR="00534F97" w:rsidRPr="004248CB">
        <w:t xml:space="preserve"> with sector representatives, not just in community archaeology</w:t>
      </w:r>
      <w:r w:rsidR="00963DE9" w:rsidRPr="004248CB">
        <w:t>,</w:t>
      </w:r>
      <w:r w:rsidR="00534F97" w:rsidRPr="004248CB">
        <w:t xml:space="preserve"> bu</w:t>
      </w:r>
      <w:r w:rsidR="00963DE9" w:rsidRPr="004248CB">
        <w:t>t</w:t>
      </w:r>
      <w:r w:rsidR="00534F97" w:rsidRPr="004248CB">
        <w:t xml:space="preserve"> in local authorities and commercial organisations</w:t>
      </w:r>
      <w:r w:rsidR="00441128">
        <w:t xml:space="preserve"> in mind</w:t>
      </w:r>
      <w:r w:rsidR="00534F97" w:rsidRPr="004248CB">
        <w:t xml:space="preserve">. </w:t>
      </w:r>
      <w:r w:rsidR="00382D55" w:rsidRPr="004248CB">
        <w:t xml:space="preserve">The method is still an unknown, as unlike archaeological finds reports that were assessed </w:t>
      </w:r>
      <w:r w:rsidR="0077161A" w:rsidRPr="004248CB">
        <w:t xml:space="preserve">by Alice Catermole in her </w:t>
      </w:r>
      <w:hyperlink r:id="rId16" w:history="1">
        <w:r w:rsidR="0077161A" w:rsidRPr="006F2DCE">
          <w:rPr>
            <w:rStyle w:val="Hyperlink"/>
          </w:rPr>
          <w:t>Review of the standard of reporting on archaeological artefacts in England</w:t>
        </w:r>
      </w:hyperlink>
      <w:r w:rsidR="00B3742E" w:rsidRPr="004248CB">
        <w:t xml:space="preserve"> – community engagement is not normally </w:t>
      </w:r>
      <w:r w:rsidR="004F1D85" w:rsidRPr="004248CB">
        <w:t xml:space="preserve">formally </w:t>
      </w:r>
      <w:r w:rsidR="00B3742E" w:rsidRPr="004248CB">
        <w:t xml:space="preserve">written up and published as grey literature. However, project </w:t>
      </w:r>
      <w:r w:rsidR="004F1D85" w:rsidRPr="004248CB">
        <w:t>designs</w:t>
      </w:r>
      <w:r w:rsidR="00B3742E" w:rsidRPr="004248CB">
        <w:t xml:space="preserve"> could be assessed in a similar way as to Catermole</w:t>
      </w:r>
      <w:r w:rsidR="00AB4E44" w:rsidRPr="004248CB">
        <w:t xml:space="preserve">’s review. </w:t>
      </w:r>
    </w:p>
    <w:p w14:paraId="35C9F321" w14:textId="2473CEFC" w:rsidR="00DF44FF" w:rsidRPr="006F2DCE" w:rsidRDefault="00067CAE" w:rsidP="006F2DCE">
      <w:pPr>
        <w:spacing w:line="240" w:lineRule="auto"/>
        <w:rPr>
          <w:b/>
        </w:rPr>
      </w:pPr>
      <w:r w:rsidRPr="006F2DCE">
        <w:rPr>
          <w:b/>
        </w:rPr>
        <w:t>Stakeholders and interfaces</w:t>
      </w:r>
    </w:p>
    <w:p w14:paraId="1502F82B" w14:textId="7E8B3FD8" w:rsidR="00547B9D" w:rsidRDefault="00067CAE" w:rsidP="00332050">
      <w:pPr>
        <w:spacing w:line="240" w:lineRule="auto"/>
      </w:pPr>
      <w:r w:rsidRPr="002771C4">
        <w:t xml:space="preserve">This project will work in partnership – through membership of the project team </w:t>
      </w:r>
      <w:r w:rsidR="00D13902">
        <w:t>(appointed consultant</w:t>
      </w:r>
      <w:r w:rsidR="004826A0" w:rsidRPr="00CB268C">
        <w:t>,</w:t>
      </w:r>
      <w:r w:rsidR="003B41F4" w:rsidRPr="00CB268C">
        <w:t xml:space="preserve"> CIfA V&amp;C </w:t>
      </w:r>
      <w:r w:rsidR="00011225" w:rsidRPr="00CB268C">
        <w:t>representative</w:t>
      </w:r>
      <w:r w:rsidR="003B41F4" w:rsidRPr="00CB268C">
        <w:t xml:space="preserve">, </w:t>
      </w:r>
      <w:r w:rsidR="00D13902">
        <w:t>and CIfA staff members)</w:t>
      </w:r>
      <w:r w:rsidR="00CB268C">
        <w:t xml:space="preserve">. An </w:t>
      </w:r>
      <w:r w:rsidR="00687211">
        <w:t xml:space="preserve">advisory board will be created at project initiation and will include </w:t>
      </w:r>
      <w:r w:rsidR="00533DDF">
        <w:t>several</w:t>
      </w:r>
      <w:r w:rsidR="00687211">
        <w:t xml:space="preserve"> sector representatives, including ALGAO</w:t>
      </w:r>
      <w:r w:rsidR="00224B4A">
        <w:t>,</w:t>
      </w:r>
      <w:r w:rsidR="00687211">
        <w:t xml:space="preserve"> CBA</w:t>
      </w:r>
      <w:r w:rsidR="000A2064">
        <w:t xml:space="preserve"> and HE</w:t>
      </w:r>
      <w:r w:rsidR="00687211">
        <w:t>.</w:t>
      </w:r>
      <w:r w:rsidR="00D13902">
        <w:t xml:space="preserve"> </w:t>
      </w:r>
    </w:p>
    <w:p w14:paraId="5610CED6" w14:textId="16C8418B" w:rsidR="001D52EC" w:rsidRPr="002771C4" w:rsidRDefault="001D52EC" w:rsidP="00332050">
      <w:pPr>
        <w:spacing w:line="240" w:lineRule="auto"/>
      </w:pPr>
      <w:r>
        <w:t>Stakeholders identified include:</w:t>
      </w:r>
    </w:p>
    <w:p w14:paraId="414727B9" w14:textId="77777777" w:rsidR="00926F92" w:rsidRPr="00FB79C1" w:rsidRDefault="00926F92" w:rsidP="00926F92">
      <w:pPr>
        <w:numPr>
          <w:ilvl w:val="0"/>
          <w:numId w:val="10"/>
        </w:numPr>
        <w:pBdr>
          <w:top w:val="nil"/>
          <w:left w:val="nil"/>
          <w:bottom w:val="nil"/>
          <w:right w:val="nil"/>
          <w:between w:val="nil"/>
        </w:pBdr>
        <w:spacing w:after="0" w:line="240" w:lineRule="auto"/>
      </w:pPr>
      <w:r w:rsidRPr="00FB79C1">
        <w:rPr>
          <w:color w:val="000000"/>
        </w:rPr>
        <w:t>Archaeology Scotland</w:t>
      </w:r>
    </w:p>
    <w:p w14:paraId="2A581E10" w14:textId="039B2022" w:rsidR="004930C2" w:rsidRPr="00F065BE" w:rsidRDefault="004930C2" w:rsidP="004930C2">
      <w:pPr>
        <w:numPr>
          <w:ilvl w:val="0"/>
          <w:numId w:val="10"/>
        </w:numPr>
        <w:pBdr>
          <w:top w:val="nil"/>
          <w:left w:val="nil"/>
          <w:bottom w:val="nil"/>
          <w:right w:val="nil"/>
          <w:between w:val="nil"/>
        </w:pBdr>
        <w:spacing w:after="0" w:line="240" w:lineRule="auto"/>
      </w:pPr>
      <w:r w:rsidRPr="00FB79C1" w:rsidDel="00747B1F">
        <w:rPr>
          <w:color w:val="000000"/>
        </w:rPr>
        <w:t>Association of Local Government Archaeological Officers</w:t>
      </w:r>
      <w:r w:rsidRPr="00FB79C1" w:rsidDel="00747B1F">
        <w:t xml:space="preserve"> (</w:t>
      </w:r>
      <w:r w:rsidRPr="00FB79C1" w:rsidDel="00747B1F">
        <w:rPr>
          <w:color w:val="000000"/>
        </w:rPr>
        <w:t>ALGAO</w:t>
      </w:r>
      <w:r w:rsidDel="00747B1F">
        <w:rPr>
          <w:color w:val="000000"/>
        </w:rPr>
        <w:t xml:space="preserve"> UK</w:t>
      </w:r>
      <w:r w:rsidRPr="00FB79C1" w:rsidDel="00747B1F">
        <w:rPr>
          <w:color w:val="000000"/>
        </w:rPr>
        <w:t xml:space="preserve">) </w:t>
      </w:r>
    </w:p>
    <w:p w14:paraId="4DA2132C" w14:textId="77777777" w:rsidR="004930C2" w:rsidRPr="00FB79C1" w:rsidRDefault="004930C2" w:rsidP="004930C2">
      <w:pPr>
        <w:numPr>
          <w:ilvl w:val="0"/>
          <w:numId w:val="10"/>
        </w:numPr>
        <w:pBdr>
          <w:top w:val="nil"/>
          <w:left w:val="nil"/>
          <w:bottom w:val="nil"/>
          <w:right w:val="nil"/>
          <w:between w:val="nil"/>
        </w:pBdr>
        <w:spacing w:after="0" w:line="240" w:lineRule="auto"/>
      </w:pPr>
      <w:r w:rsidRPr="00FB79C1">
        <w:rPr>
          <w:color w:val="000000"/>
        </w:rPr>
        <w:t>C</w:t>
      </w:r>
      <w:r w:rsidRPr="00FB79C1">
        <w:t xml:space="preserve">adw </w:t>
      </w:r>
    </w:p>
    <w:p w14:paraId="37A8A3F2" w14:textId="452EC26A" w:rsidR="00B41FFE" w:rsidRPr="00FB79C1" w:rsidRDefault="00410156" w:rsidP="00BC2684">
      <w:pPr>
        <w:pStyle w:val="ListParagraph"/>
        <w:numPr>
          <w:ilvl w:val="0"/>
          <w:numId w:val="10"/>
        </w:numPr>
        <w:pBdr>
          <w:top w:val="nil"/>
          <w:left w:val="nil"/>
          <w:bottom w:val="nil"/>
          <w:right w:val="nil"/>
          <w:between w:val="nil"/>
        </w:pBdr>
        <w:spacing w:after="0" w:line="240" w:lineRule="auto"/>
      </w:pPr>
      <w:r w:rsidRPr="002771C4">
        <w:rPr>
          <w:color w:val="000000"/>
        </w:rPr>
        <w:t>C</w:t>
      </w:r>
      <w:r w:rsidR="00DB4A0D" w:rsidRPr="002771C4">
        <w:rPr>
          <w:color w:val="000000"/>
        </w:rPr>
        <w:t xml:space="preserve">ouncil for </w:t>
      </w:r>
      <w:r w:rsidRPr="00FB79C1">
        <w:rPr>
          <w:color w:val="000000"/>
        </w:rPr>
        <w:t>B</w:t>
      </w:r>
      <w:r w:rsidR="00DB4A0D" w:rsidRPr="00FB79C1">
        <w:rPr>
          <w:color w:val="000000"/>
        </w:rPr>
        <w:t xml:space="preserve">ritish </w:t>
      </w:r>
      <w:r w:rsidRPr="00FB79C1">
        <w:rPr>
          <w:color w:val="000000"/>
        </w:rPr>
        <w:t>A</w:t>
      </w:r>
      <w:r w:rsidR="00DB4A0D" w:rsidRPr="00FB79C1">
        <w:rPr>
          <w:color w:val="000000"/>
        </w:rPr>
        <w:t>rchaeology</w:t>
      </w:r>
      <w:r w:rsidR="00B97267" w:rsidRPr="00FB79C1">
        <w:rPr>
          <w:color w:val="000000"/>
        </w:rPr>
        <w:t xml:space="preserve"> (CBA)</w:t>
      </w:r>
    </w:p>
    <w:p w14:paraId="35C9F324" w14:textId="7891DA0B" w:rsidR="00DF44FF" w:rsidRPr="00FB79C1" w:rsidDel="005B4248" w:rsidRDefault="00067CAE" w:rsidP="00BC2684">
      <w:pPr>
        <w:pStyle w:val="ListParagraph"/>
        <w:numPr>
          <w:ilvl w:val="0"/>
          <w:numId w:val="10"/>
        </w:numPr>
        <w:pBdr>
          <w:top w:val="nil"/>
          <w:left w:val="nil"/>
          <w:bottom w:val="nil"/>
          <w:right w:val="nil"/>
          <w:between w:val="nil"/>
        </w:pBdr>
        <w:spacing w:after="0" w:line="240" w:lineRule="auto"/>
      </w:pPr>
      <w:r w:rsidRPr="00FB79C1" w:rsidDel="005B4248">
        <w:rPr>
          <w:color w:val="000000"/>
        </w:rPr>
        <w:t xml:space="preserve">CIfA </w:t>
      </w:r>
    </w:p>
    <w:p w14:paraId="7C805A78" w14:textId="77777777" w:rsidR="00926F92" w:rsidRPr="00FB79C1" w:rsidRDefault="00926F92" w:rsidP="00926F92">
      <w:pPr>
        <w:numPr>
          <w:ilvl w:val="0"/>
          <w:numId w:val="10"/>
        </w:numPr>
        <w:pBdr>
          <w:top w:val="nil"/>
          <w:left w:val="nil"/>
          <w:bottom w:val="nil"/>
          <w:right w:val="nil"/>
          <w:between w:val="nil"/>
        </w:pBdr>
        <w:spacing w:after="0" w:line="240" w:lineRule="auto"/>
      </w:pPr>
      <w:r w:rsidRPr="00FB79C1">
        <w:rPr>
          <w:color w:val="000000"/>
        </w:rPr>
        <w:t>Federation of Archaeological Managers and Employers (FAME)</w:t>
      </w:r>
    </w:p>
    <w:p w14:paraId="20F00A89" w14:textId="4D117CC4" w:rsidR="008321A1" w:rsidRPr="00445D50" w:rsidRDefault="00BE6119" w:rsidP="00BC2684">
      <w:pPr>
        <w:numPr>
          <w:ilvl w:val="0"/>
          <w:numId w:val="10"/>
        </w:numPr>
        <w:pBdr>
          <w:top w:val="nil"/>
          <w:left w:val="nil"/>
          <w:bottom w:val="nil"/>
          <w:right w:val="nil"/>
          <w:between w:val="nil"/>
        </w:pBdr>
        <w:spacing w:after="0" w:line="240" w:lineRule="auto"/>
      </w:pPr>
      <w:r w:rsidRPr="00445D50">
        <w:rPr>
          <w:color w:val="000000"/>
        </w:rPr>
        <w:t>Heritage Council</w:t>
      </w:r>
      <w:r w:rsidR="0082153C" w:rsidRPr="00445D50">
        <w:rPr>
          <w:color w:val="000000"/>
        </w:rPr>
        <w:t xml:space="preserve"> (Ireland)</w:t>
      </w:r>
    </w:p>
    <w:p w14:paraId="32EC4245" w14:textId="1E322486" w:rsidR="00926F92" w:rsidRPr="00445D50" w:rsidRDefault="00926F92" w:rsidP="00F065BE">
      <w:pPr>
        <w:numPr>
          <w:ilvl w:val="0"/>
          <w:numId w:val="10"/>
        </w:numPr>
        <w:pBdr>
          <w:top w:val="nil"/>
          <w:left w:val="nil"/>
          <w:bottom w:val="nil"/>
          <w:right w:val="nil"/>
          <w:between w:val="nil"/>
        </w:pBdr>
        <w:spacing w:after="0" w:line="240" w:lineRule="auto"/>
      </w:pPr>
      <w:r w:rsidRPr="00445D50">
        <w:rPr>
          <w:color w:val="000000"/>
        </w:rPr>
        <w:t>Historic England</w:t>
      </w:r>
    </w:p>
    <w:p w14:paraId="119B8DA1" w14:textId="3B89CB22" w:rsidR="00BE6119" w:rsidRPr="00445D50" w:rsidRDefault="00BE6119" w:rsidP="00BC2684">
      <w:pPr>
        <w:numPr>
          <w:ilvl w:val="0"/>
          <w:numId w:val="10"/>
        </w:numPr>
        <w:pBdr>
          <w:top w:val="nil"/>
          <w:left w:val="nil"/>
          <w:bottom w:val="nil"/>
          <w:right w:val="nil"/>
          <w:between w:val="nil"/>
        </w:pBdr>
        <w:spacing w:after="0" w:line="240" w:lineRule="auto"/>
      </w:pPr>
      <w:r w:rsidRPr="00445D50">
        <w:rPr>
          <w:color w:val="000000"/>
        </w:rPr>
        <w:t>Historic Env</w:t>
      </w:r>
      <w:r w:rsidR="005B3BBF" w:rsidRPr="00445D50">
        <w:rPr>
          <w:color w:val="000000"/>
        </w:rPr>
        <w:t>ironment Division, Department for Communities (NI)</w:t>
      </w:r>
    </w:p>
    <w:p w14:paraId="30429CE3" w14:textId="7709878F" w:rsidR="00926F92" w:rsidRPr="00445D50" w:rsidRDefault="00926F92" w:rsidP="00F065BE">
      <w:pPr>
        <w:numPr>
          <w:ilvl w:val="0"/>
          <w:numId w:val="10"/>
        </w:numPr>
        <w:pBdr>
          <w:top w:val="nil"/>
          <w:left w:val="nil"/>
          <w:bottom w:val="nil"/>
          <w:right w:val="nil"/>
          <w:between w:val="nil"/>
        </w:pBdr>
        <w:spacing w:after="0" w:line="240" w:lineRule="auto"/>
      </w:pPr>
      <w:r w:rsidRPr="00445D50">
        <w:rPr>
          <w:color w:val="000000"/>
        </w:rPr>
        <w:t>Historic Environment Scotland</w:t>
      </w:r>
    </w:p>
    <w:p w14:paraId="11585861" w14:textId="5B435781" w:rsidR="005B3BBF" w:rsidRPr="00445D50" w:rsidRDefault="008321A1" w:rsidP="00BC2684">
      <w:pPr>
        <w:numPr>
          <w:ilvl w:val="0"/>
          <w:numId w:val="10"/>
        </w:numPr>
        <w:pBdr>
          <w:top w:val="nil"/>
          <w:left w:val="nil"/>
          <w:bottom w:val="nil"/>
          <w:right w:val="nil"/>
          <w:between w:val="nil"/>
        </w:pBdr>
        <w:spacing w:after="0" w:line="240" w:lineRule="auto"/>
      </w:pPr>
      <w:r w:rsidRPr="00445D50">
        <w:rPr>
          <w:color w:val="000000"/>
        </w:rPr>
        <w:t>Institute of Archaeologists of Ireland (</w:t>
      </w:r>
      <w:r w:rsidR="005B3BBF" w:rsidRPr="00445D50">
        <w:rPr>
          <w:color w:val="000000"/>
        </w:rPr>
        <w:t>IAI</w:t>
      </w:r>
      <w:r w:rsidRPr="00445D50">
        <w:rPr>
          <w:color w:val="000000"/>
        </w:rPr>
        <w:t>)</w:t>
      </w:r>
    </w:p>
    <w:p w14:paraId="66838313" w14:textId="29120E96" w:rsidR="00997BCC" w:rsidRPr="00445D50" w:rsidRDefault="00997BCC" w:rsidP="00F065BE">
      <w:pPr>
        <w:numPr>
          <w:ilvl w:val="0"/>
          <w:numId w:val="10"/>
        </w:numPr>
        <w:pBdr>
          <w:top w:val="nil"/>
          <w:left w:val="nil"/>
          <w:bottom w:val="nil"/>
          <w:right w:val="nil"/>
          <w:between w:val="nil"/>
        </w:pBdr>
        <w:spacing w:after="0" w:line="240" w:lineRule="auto"/>
      </w:pPr>
      <w:r w:rsidRPr="00445D50">
        <w:rPr>
          <w:color w:val="000000"/>
        </w:rPr>
        <w:t>Ministry of Defence Estates</w:t>
      </w:r>
    </w:p>
    <w:p w14:paraId="71D9132E" w14:textId="78C2DC1F" w:rsidR="00926F92" w:rsidRPr="00F065BE" w:rsidRDefault="00926F92" w:rsidP="00926F92">
      <w:pPr>
        <w:numPr>
          <w:ilvl w:val="0"/>
          <w:numId w:val="10"/>
        </w:numPr>
        <w:pBdr>
          <w:top w:val="nil"/>
          <w:left w:val="nil"/>
          <w:bottom w:val="nil"/>
          <w:right w:val="nil"/>
          <w:between w:val="nil"/>
        </w:pBdr>
        <w:spacing w:after="0" w:line="240" w:lineRule="auto"/>
      </w:pPr>
      <w:r w:rsidRPr="00FB79C1">
        <w:rPr>
          <w:color w:val="000000"/>
        </w:rPr>
        <w:t xml:space="preserve">National Lottery Heritage Fund (NLHF) </w:t>
      </w:r>
    </w:p>
    <w:p w14:paraId="22DE0CEE" w14:textId="56ACBA62" w:rsidR="00997BCC" w:rsidRPr="00FB79C1" w:rsidRDefault="00997BCC" w:rsidP="00F065BE">
      <w:pPr>
        <w:numPr>
          <w:ilvl w:val="0"/>
          <w:numId w:val="10"/>
        </w:numPr>
        <w:pBdr>
          <w:top w:val="nil"/>
          <w:left w:val="nil"/>
          <w:bottom w:val="nil"/>
          <w:right w:val="nil"/>
          <w:between w:val="nil"/>
        </w:pBdr>
        <w:spacing w:after="0" w:line="240" w:lineRule="auto"/>
      </w:pPr>
      <w:r w:rsidRPr="00F065BE">
        <w:rPr>
          <w:color w:val="000000"/>
        </w:rPr>
        <w:t>National Parks</w:t>
      </w:r>
    </w:p>
    <w:p w14:paraId="23D6C673" w14:textId="5ABB4151" w:rsidR="00926F92" w:rsidRDefault="00926F92" w:rsidP="00926F92">
      <w:pPr>
        <w:numPr>
          <w:ilvl w:val="0"/>
          <w:numId w:val="10"/>
        </w:numPr>
        <w:pBdr>
          <w:top w:val="nil"/>
          <w:left w:val="nil"/>
          <w:bottom w:val="nil"/>
          <w:right w:val="nil"/>
          <w:between w:val="nil"/>
        </w:pBdr>
        <w:spacing w:after="0" w:line="240" w:lineRule="auto"/>
        <w:rPr>
          <w:color w:val="000000"/>
        </w:rPr>
      </w:pPr>
      <w:r w:rsidRPr="00FB79C1">
        <w:rPr>
          <w:color w:val="000000"/>
        </w:rPr>
        <w:t xml:space="preserve">National Trust </w:t>
      </w:r>
    </w:p>
    <w:p w14:paraId="33B19020" w14:textId="3DF2ED86" w:rsidR="00B36A7D" w:rsidRPr="00FB79C1" w:rsidRDefault="00B36A7D" w:rsidP="00926F92">
      <w:pPr>
        <w:numPr>
          <w:ilvl w:val="0"/>
          <w:numId w:val="10"/>
        </w:numPr>
        <w:pBdr>
          <w:top w:val="nil"/>
          <w:left w:val="nil"/>
          <w:bottom w:val="nil"/>
          <w:right w:val="nil"/>
          <w:between w:val="nil"/>
        </w:pBdr>
        <w:spacing w:after="0" w:line="240" w:lineRule="auto"/>
        <w:rPr>
          <w:color w:val="000000"/>
        </w:rPr>
      </w:pPr>
      <w:r>
        <w:t>National Trust for Scotland</w:t>
      </w:r>
    </w:p>
    <w:p w14:paraId="0A62B232" w14:textId="75D5FB29" w:rsidR="00926F92" w:rsidRPr="00F065BE" w:rsidRDefault="00F065BE" w:rsidP="00F065BE">
      <w:pPr>
        <w:numPr>
          <w:ilvl w:val="0"/>
          <w:numId w:val="10"/>
        </w:numPr>
        <w:pBdr>
          <w:top w:val="nil"/>
          <w:left w:val="nil"/>
          <w:bottom w:val="nil"/>
          <w:right w:val="nil"/>
          <w:between w:val="nil"/>
        </w:pBdr>
        <w:spacing w:after="0" w:line="240" w:lineRule="auto"/>
        <w:rPr>
          <w:color w:val="000000"/>
        </w:rPr>
      </w:pPr>
      <w:r w:rsidRPr="00F065BE">
        <w:rPr>
          <w:color w:val="000000"/>
        </w:rPr>
        <w:t xml:space="preserve">Portable Antiquities Scheme </w:t>
      </w:r>
      <w:r w:rsidR="00926F92" w:rsidRPr="00F065BE">
        <w:rPr>
          <w:color w:val="000000"/>
        </w:rPr>
        <w:t>Royal Commission for Ancient Historic Monuments Wales (RCHAMW)</w:t>
      </w:r>
    </w:p>
    <w:p w14:paraId="43503CA2" w14:textId="2FE0BE88" w:rsidR="00BC2684" w:rsidRPr="00F065BE" w:rsidRDefault="00067CAE" w:rsidP="00F065BE">
      <w:pPr>
        <w:numPr>
          <w:ilvl w:val="0"/>
          <w:numId w:val="10"/>
        </w:numPr>
        <w:pBdr>
          <w:top w:val="nil"/>
          <w:left w:val="nil"/>
          <w:bottom w:val="nil"/>
          <w:right w:val="nil"/>
          <w:between w:val="nil"/>
        </w:pBdr>
        <w:spacing w:after="0" w:line="240" w:lineRule="auto"/>
        <w:rPr>
          <w:color w:val="000000"/>
        </w:rPr>
      </w:pPr>
      <w:r w:rsidRPr="00F065BE">
        <w:rPr>
          <w:color w:val="000000"/>
        </w:rPr>
        <w:t xml:space="preserve">Society </w:t>
      </w:r>
      <w:r w:rsidR="00123E17" w:rsidRPr="00F065BE">
        <w:rPr>
          <w:color w:val="000000"/>
        </w:rPr>
        <w:t xml:space="preserve">for </w:t>
      </w:r>
      <w:r w:rsidRPr="00F065BE">
        <w:rPr>
          <w:color w:val="000000"/>
        </w:rPr>
        <w:t>Museum Archaeolog</w:t>
      </w:r>
      <w:r w:rsidR="00123E17" w:rsidRPr="00F065BE">
        <w:rPr>
          <w:color w:val="000000"/>
        </w:rPr>
        <w:t>y</w:t>
      </w:r>
      <w:r w:rsidRPr="00F065BE">
        <w:rPr>
          <w:color w:val="000000"/>
        </w:rPr>
        <w:t xml:space="preserve"> (SMA)</w:t>
      </w:r>
      <w:r w:rsidR="005A062D" w:rsidRPr="00F065BE">
        <w:rPr>
          <w:color w:val="000000"/>
        </w:rPr>
        <w:br/>
      </w:r>
    </w:p>
    <w:p w14:paraId="35C9F333" w14:textId="2A1A06A4" w:rsidR="00DF44FF" w:rsidRPr="00FB79C1" w:rsidRDefault="00067CAE" w:rsidP="005A062D">
      <w:pPr>
        <w:pBdr>
          <w:top w:val="nil"/>
          <w:left w:val="nil"/>
          <w:bottom w:val="nil"/>
          <w:right w:val="nil"/>
          <w:between w:val="nil"/>
        </w:pBdr>
        <w:spacing w:line="240" w:lineRule="auto"/>
      </w:pPr>
      <w:r w:rsidRPr="00FB79C1">
        <w:t>It will also</w:t>
      </w:r>
      <w:r w:rsidR="004A0CAE" w:rsidRPr="00FB79C1">
        <w:t xml:space="preserve"> engage with</w:t>
      </w:r>
      <w:r w:rsidRPr="00FB79C1">
        <w:t xml:space="preserve"> </w:t>
      </w:r>
      <w:r w:rsidR="00BC2684" w:rsidRPr="00FB79C1">
        <w:t>several</w:t>
      </w:r>
      <w:r w:rsidRPr="00FB79C1">
        <w:t xml:space="preserve"> other organisations that work with communities and </w:t>
      </w:r>
      <w:r w:rsidR="0001019E" w:rsidRPr="00FB79C1">
        <w:t xml:space="preserve">the </w:t>
      </w:r>
      <w:r w:rsidRPr="00FB79C1">
        <w:t>communit</w:t>
      </w:r>
      <w:r w:rsidR="00CD0A75" w:rsidRPr="00FB79C1">
        <w:t>y</w:t>
      </w:r>
      <w:r w:rsidRPr="00FB79C1">
        <w:t xml:space="preserve"> groups themselves</w:t>
      </w:r>
      <w:r w:rsidR="00BC2684">
        <w:t>. For example:</w:t>
      </w:r>
    </w:p>
    <w:p w14:paraId="06F0E4FD" w14:textId="77777777" w:rsidR="0052020C" w:rsidRPr="00445D50" w:rsidRDefault="0052020C" w:rsidP="00EE25F3">
      <w:pPr>
        <w:numPr>
          <w:ilvl w:val="0"/>
          <w:numId w:val="2"/>
        </w:numPr>
        <w:pBdr>
          <w:top w:val="nil"/>
          <w:left w:val="nil"/>
          <w:bottom w:val="nil"/>
          <w:right w:val="nil"/>
          <w:between w:val="nil"/>
        </w:pBdr>
        <w:spacing w:after="0" w:line="240" w:lineRule="auto"/>
      </w:pPr>
      <w:r>
        <w:rPr>
          <w:color w:val="000000"/>
        </w:rPr>
        <w:t>Archaeology for Communities in the Highlands</w:t>
      </w:r>
    </w:p>
    <w:p w14:paraId="191261AB" w14:textId="6381D5B8" w:rsidR="00EE25F3" w:rsidRPr="002771C4" w:rsidRDefault="00EE25F3" w:rsidP="00EE25F3">
      <w:pPr>
        <w:numPr>
          <w:ilvl w:val="0"/>
          <w:numId w:val="2"/>
        </w:numPr>
        <w:pBdr>
          <w:top w:val="nil"/>
          <w:left w:val="nil"/>
          <w:bottom w:val="nil"/>
          <w:right w:val="nil"/>
          <w:between w:val="nil"/>
        </w:pBdr>
        <w:spacing w:after="0" w:line="240" w:lineRule="auto"/>
      </w:pPr>
      <w:r w:rsidRPr="002771C4">
        <w:rPr>
          <w:color w:val="000000"/>
        </w:rPr>
        <w:t>CBA regional groups</w:t>
      </w:r>
    </w:p>
    <w:p w14:paraId="0D968803" w14:textId="77777777" w:rsidR="00F065BE" w:rsidRPr="00FB79C1" w:rsidRDefault="00F065BE" w:rsidP="00F065BE">
      <w:pPr>
        <w:numPr>
          <w:ilvl w:val="0"/>
          <w:numId w:val="2"/>
        </w:numPr>
        <w:pBdr>
          <w:top w:val="nil"/>
          <w:left w:val="nil"/>
          <w:bottom w:val="nil"/>
          <w:right w:val="nil"/>
          <w:between w:val="nil"/>
        </w:pBdr>
        <w:spacing w:after="0" w:line="240" w:lineRule="auto"/>
      </w:pPr>
      <w:r w:rsidRPr="00FB79C1">
        <w:rPr>
          <w:color w:val="000000"/>
        </w:rPr>
        <w:t>CHERISH (Coastal heritage and climate change project)</w:t>
      </w:r>
    </w:p>
    <w:p w14:paraId="35C9F334" w14:textId="7A1ED3E3" w:rsidR="00DF44FF" w:rsidRDefault="003F0DA6" w:rsidP="00332050">
      <w:pPr>
        <w:numPr>
          <w:ilvl w:val="0"/>
          <w:numId w:val="2"/>
        </w:numPr>
        <w:pBdr>
          <w:top w:val="nil"/>
          <w:left w:val="nil"/>
          <w:bottom w:val="nil"/>
          <w:right w:val="nil"/>
          <w:between w:val="nil"/>
        </w:pBdr>
        <w:spacing w:after="0" w:line="240" w:lineRule="auto"/>
      </w:pPr>
      <w:r w:rsidRPr="00BC2684">
        <w:rPr>
          <w:rFonts w:asciiTheme="majorHAnsi" w:hAnsiTheme="majorHAnsi" w:cstheme="majorHAnsi"/>
          <w:shd w:val="clear" w:color="auto" w:fill="FFFFFF"/>
        </w:rPr>
        <w:t>Coastal and Intertidal Zone Archaeological Network (</w:t>
      </w:r>
      <w:r w:rsidR="00067CAE" w:rsidRPr="00BC2684">
        <w:rPr>
          <w:rFonts w:asciiTheme="majorHAnsi" w:hAnsiTheme="majorHAnsi" w:cstheme="majorHAnsi"/>
        </w:rPr>
        <w:t>CITIZAN</w:t>
      </w:r>
      <w:r w:rsidRPr="00BC2684">
        <w:t>)</w:t>
      </w:r>
    </w:p>
    <w:p w14:paraId="0BB3A5AD" w14:textId="6D7B4A47" w:rsidR="00B36A7D" w:rsidRDefault="00B36A7D" w:rsidP="00445D50">
      <w:pPr>
        <w:numPr>
          <w:ilvl w:val="0"/>
          <w:numId w:val="2"/>
        </w:numPr>
        <w:pBdr>
          <w:top w:val="nil"/>
          <w:left w:val="nil"/>
          <w:bottom w:val="nil"/>
          <w:right w:val="nil"/>
          <w:between w:val="nil"/>
        </w:pBdr>
        <w:spacing w:after="0" w:line="240" w:lineRule="auto"/>
      </w:pPr>
      <w:r w:rsidRPr="00445D50">
        <w:rPr>
          <w:color w:val="000000"/>
        </w:rPr>
        <w:t>County Archaeology Societies</w:t>
      </w:r>
    </w:p>
    <w:p w14:paraId="7F4A1E75" w14:textId="0A4FFF4B" w:rsidR="00B36A7D" w:rsidRPr="00BC2684" w:rsidRDefault="00B36A7D" w:rsidP="00445D50">
      <w:pPr>
        <w:numPr>
          <w:ilvl w:val="0"/>
          <w:numId w:val="2"/>
        </w:numPr>
        <w:pBdr>
          <w:top w:val="nil"/>
          <w:left w:val="nil"/>
          <w:bottom w:val="nil"/>
          <w:right w:val="nil"/>
          <w:between w:val="nil"/>
        </w:pBdr>
        <w:spacing w:after="0" w:line="240" w:lineRule="auto"/>
      </w:pPr>
      <w:r w:rsidRPr="00445D50">
        <w:rPr>
          <w:color w:val="000000"/>
        </w:rPr>
        <w:t>DigVentures Ltd</w:t>
      </w:r>
    </w:p>
    <w:p w14:paraId="745CE010" w14:textId="1E34AC19" w:rsidR="00B36A7D" w:rsidRPr="00445D50" w:rsidRDefault="00B36A7D" w:rsidP="00445D50">
      <w:pPr>
        <w:numPr>
          <w:ilvl w:val="0"/>
          <w:numId w:val="2"/>
        </w:numPr>
        <w:pBdr>
          <w:top w:val="nil"/>
          <w:left w:val="nil"/>
          <w:bottom w:val="nil"/>
          <w:right w:val="nil"/>
          <w:between w:val="nil"/>
        </w:pBdr>
        <w:spacing w:after="0" w:line="240" w:lineRule="auto"/>
      </w:pPr>
      <w:r w:rsidRPr="00445D50">
        <w:rPr>
          <w:color w:val="000000"/>
        </w:rPr>
        <w:t>Nautical Archaeology Society</w:t>
      </w:r>
    </w:p>
    <w:p w14:paraId="35C9F336" w14:textId="0055BDBE" w:rsidR="00DF44FF" w:rsidRPr="00FB79C1" w:rsidRDefault="00067CAE" w:rsidP="00332050">
      <w:pPr>
        <w:numPr>
          <w:ilvl w:val="0"/>
          <w:numId w:val="2"/>
        </w:numPr>
        <w:pBdr>
          <w:top w:val="nil"/>
          <w:left w:val="nil"/>
          <w:bottom w:val="nil"/>
          <w:right w:val="nil"/>
          <w:between w:val="nil"/>
        </w:pBdr>
        <w:spacing w:after="0" w:line="240" w:lineRule="auto"/>
      </w:pPr>
      <w:r w:rsidRPr="00FB79C1">
        <w:rPr>
          <w:color w:val="000000"/>
        </w:rPr>
        <w:t xml:space="preserve">SCAPE </w:t>
      </w:r>
      <w:r w:rsidR="00707174" w:rsidRPr="00FB79C1">
        <w:rPr>
          <w:color w:val="000000"/>
        </w:rPr>
        <w:t>(</w:t>
      </w:r>
      <w:r w:rsidRPr="00FB79C1">
        <w:rPr>
          <w:color w:val="000000"/>
        </w:rPr>
        <w:t>Scottish Coastal Archaeology and the Problem of Erosion</w:t>
      </w:r>
      <w:r w:rsidR="00707174" w:rsidRPr="00FB79C1">
        <w:rPr>
          <w:color w:val="000000"/>
        </w:rPr>
        <w:t>)</w:t>
      </w:r>
      <w:r w:rsidRPr="00FB79C1">
        <w:rPr>
          <w:color w:val="000000"/>
        </w:rPr>
        <w:t xml:space="preserve"> </w:t>
      </w:r>
    </w:p>
    <w:p w14:paraId="35C9F337" w14:textId="77777777" w:rsidR="00DF44FF" w:rsidRPr="00FB79C1" w:rsidRDefault="00067CAE" w:rsidP="00332050">
      <w:pPr>
        <w:numPr>
          <w:ilvl w:val="0"/>
          <w:numId w:val="2"/>
        </w:numPr>
        <w:pBdr>
          <w:top w:val="nil"/>
          <w:left w:val="nil"/>
          <w:bottom w:val="nil"/>
          <w:right w:val="nil"/>
          <w:between w:val="nil"/>
        </w:pBdr>
        <w:spacing w:after="0" w:line="240" w:lineRule="auto"/>
      </w:pPr>
      <w:r w:rsidRPr="00FB79C1">
        <w:rPr>
          <w:color w:val="000000"/>
        </w:rPr>
        <w:t>The Thames Discovery Project</w:t>
      </w:r>
    </w:p>
    <w:p w14:paraId="35C9F33C" w14:textId="77777777" w:rsidR="00012498" w:rsidRPr="002771C4" w:rsidRDefault="00AB138B" w:rsidP="00332050">
      <w:pPr>
        <w:numPr>
          <w:ilvl w:val="0"/>
          <w:numId w:val="2"/>
        </w:numPr>
        <w:pBdr>
          <w:top w:val="nil"/>
          <w:left w:val="nil"/>
          <w:bottom w:val="nil"/>
          <w:right w:val="nil"/>
          <w:between w:val="nil"/>
        </w:pBdr>
        <w:spacing w:after="0" w:line="240" w:lineRule="auto"/>
      </w:pPr>
      <w:r w:rsidRPr="002771C4">
        <w:rPr>
          <w:color w:val="000000"/>
        </w:rPr>
        <w:t>University community archaeology projects</w:t>
      </w:r>
    </w:p>
    <w:p w14:paraId="35C9F33E" w14:textId="77777777" w:rsidR="00DF44FF" w:rsidRPr="002771C4" w:rsidRDefault="00DF44FF" w:rsidP="00332050">
      <w:pPr>
        <w:pBdr>
          <w:top w:val="nil"/>
          <w:left w:val="nil"/>
          <w:bottom w:val="nil"/>
          <w:right w:val="nil"/>
          <w:between w:val="nil"/>
        </w:pBdr>
        <w:spacing w:after="0" w:line="240" w:lineRule="auto"/>
        <w:rPr>
          <w:color w:val="000000"/>
        </w:rPr>
      </w:pPr>
    </w:p>
    <w:p w14:paraId="4C7801C6" w14:textId="77777777" w:rsidR="006A09FC" w:rsidRPr="002771C4" w:rsidRDefault="00067CAE" w:rsidP="00332050">
      <w:pPr>
        <w:pBdr>
          <w:top w:val="nil"/>
          <w:left w:val="nil"/>
          <w:bottom w:val="nil"/>
          <w:right w:val="nil"/>
          <w:between w:val="nil"/>
        </w:pBdr>
        <w:spacing w:after="0" w:line="240" w:lineRule="auto"/>
        <w:rPr>
          <w:color w:val="000000"/>
        </w:rPr>
      </w:pPr>
      <w:r w:rsidRPr="002771C4">
        <w:rPr>
          <w:color w:val="000000"/>
        </w:rPr>
        <w:t>There are interfaces with</w:t>
      </w:r>
      <w:r w:rsidR="006A09FC" w:rsidRPr="002771C4">
        <w:rPr>
          <w:color w:val="000000"/>
        </w:rPr>
        <w:t>:</w:t>
      </w:r>
    </w:p>
    <w:p w14:paraId="2E27B085" w14:textId="77777777" w:rsidR="006A09FC" w:rsidRPr="002771C4" w:rsidRDefault="006A09FC" w:rsidP="00332050">
      <w:pPr>
        <w:pBdr>
          <w:top w:val="nil"/>
          <w:left w:val="nil"/>
          <w:bottom w:val="nil"/>
          <w:right w:val="nil"/>
          <w:between w:val="nil"/>
        </w:pBdr>
        <w:spacing w:after="0" w:line="240" w:lineRule="auto"/>
        <w:rPr>
          <w:color w:val="000000"/>
        </w:rPr>
      </w:pPr>
    </w:p>
    <w:p w14:paraId="35C9F33F" w14:textId="3ED23A13" w:rsidR="00DF44FF" w:rsidRPr="00FB79C1" w:rsidRDefault="006A09FC" w:rsidP="00332050">
      <w:pPr>
        <w:pStyle w:val="ListParagraph"/>
        <w:numPr>
          <w:ilvl w:val="0"/>
          <w:numId w:val="18"/>
        </w:numPr>
        <w:pBdr>
          <w:top w:val="nil"/>
          <w:left w:val="nil"/>
          <w:bottom w:val="nil"/>
          <w:right w:val="nil"/>
          <w:between w:val="nil"/>
        </w:pBdr>
        <w:spacing w:after="0" w:line="240" w:lineRule="auto"/>
        <w:rPr>
          <w:color w:val="000000"/>
        </w:rPr>
      </w:pPr>
      <w:r w:rsidRPr="002771C4">
        <w:rPr>
          <w:color w:val="000000"/>
        </w:rPr>
        <w:lastRenderedPageBreak/>
        <w:t>W</w:t>
      </w:r>
      <w:r w:rsidR="00067CAE" w:rsidRPr="002771C4">
        <w:rPr>
          <w:color w:val="000000"/>
        </w:rPr>
        <w:t xml:space="preserve">ork that is being undertaken by CIfA to review and update its </w:t>
      </w:r>
      <w:r w:rsidR="00FB79C1">
        <w:rPr>
          <w:color w:val="000000"/>
        </w:rPr>
        <w:t>S</w:t>
      </w:r>
      <w:r w:rsidR="00067CAE" w:rsidRPr="00FB79C1">
        <w:rPr>
          <w:color w:val="000000"/>
        </w:rPr>
        <w:t>tandards and guidance</w:t>
      </w:r>
      <w:r w:rsidRPr="00FB79C1">
        <w:rPr>
          <w:color w:val="000000"/>
        </w:rPr>
        <w:t xml:space="preserve"> and other guidance projects</w:t>
      </w:r>
      <w:r w:rsidR="00067CAE" w:rsidRPr="00FB79C1">
        <w:rPr>
          <w:color w:val="000000"/>
        </w:rPr>
        <w:t>.</w:t>
      </w:r>
    </w:p>
    <w:p w14:paraId="142ED577" w14:textId="4A8EAA51" w:rsidR="00711599" w:rsidRPr="002771C4" w:rsidRDefault="00711599" w:rsidP="00332050">
      <w:pPr>
        <w:pStyle w:val="ListParagraph"/>
        <w:numPr>
          <w:ilvl w:val="0"/>
          <w:numId w:val="18"/>
        </w:numPr>
        <w:pBdr>
          <w:top w:val="nil"/>
          <w:left w:val="nil"/>
          <w:bottom w:val="nil"/>
          <w:right w:val="nil"/>
          <w:between w:val="nil"/>
        </w:pBdr>
        <w:spacing w:after="0" w:line="240" w:lineRule="auto"/>
        <w:rPr>
          <w:color w:val="000000"/>
        </w:rPr>
      </w:pPr>
      <w:r w:rsidRPr="00E94E7C">
        <w:t>CIfA’s publication: Delivering Public Benefit Professional Practice Paper (published 27 September 2021))</w:t>
      </w:r>
    </w:p>
    <w:p w14:paraId="7FC46C79" w14:textId="159C9469" w:rsidR="00711599" w:rsidRPr="002771C4" w:rsidRDefault="00711599" w:rsidP="00332050">
      <w:pPr>
        <w:pStyle w:val="ListParagraph"/>
        <w:numPr>
          <w:ilvl w:val="0"/>
          <w:numId w:val="18"/>
        </w:numPr>
        <w:pBdr>
          <w:top w:val="nil"/>
          <w:left w:val="nil"/>
          <w:bottom w:val="nil"/>
          <w:right w:val="nil"/>
          <w:between w:val="nil"/>
        </w:pBdr>
        <w:spacing w:after="0" w:line="240" w:lineRule="auto"/>
        <w:rPr>
          <w:color w:val="000000"/>
        </w:rPr>
      </w:pPr>
      <w:r w:rsidRPr="00E94E7C">
        <w:t>Development of a new web pages by CIfA focused on public benefit</w:t>
      </w:r>
    </w:p>
    <w:p w14:paraId="141ED8E9" w14:textId="3BAA4597" w:rsidR="00CA6459" w:rsidRPr="002771C4" w:rsidRDefault="00CA6459" w:rsidP="00332050">
      <w:pPr>
        <w:pStyle w:val="ListParagraph"/>
        <w:numPr>
          <w:ilvl w:val="0"/>
          <w:numId w:val="18"/>
        </w:numPr>
        <w:pBdr>
          <w:top w:val="nil"/>
          <w:left w:val="nil"/>
          <w:bottom w:val="nil"/>
          <w:right w:val="nil"/>
          <w:between w:val="nil"/>
        </w:pBdr>
        <w:spacing w:after="0" w:line="240" w:lineRule="auto"/>
        <w:rPr>
          <w:color w:val="000000"/>
        </w:rPr>
      </w:pPr>
      <w:r w:rsidRPr="007F29A6">
        <w:rPr>
          <w:i/>
          <w:iCs/>
        </w:rPr>
        <w:t>Measuring, maximising and transforming public benefit from UK Government infrastructure investment in archaeology</w:t>
      </w:r>
      <w:r>
        <w:rPr>
          <w:i/>
          <w:iCs/>
        </w:rPr>
        <w:t xml:space="preserve"> -</w:t>
      </w:r>
      <w:r w:rsidRPr="00CA6459">
        <w:t xml:space="preserve"> a </w:t>
      </w:r>
      <w:proofErr w:type="gramStart"/>
      <w:r w:rsidRPr="00CA6459">
        <w:t>four year</w:t>
      </w:r>
      <w:proofErr w:type="gramEnd"/>
      <w:r w:rsidRPr="00CA6459">
        <w:t xml:space="preserve"> UKRI Future Leaders Fellowship led by MOLA archaeologist Dr Sadie Watson. </w:t>
      </w:r>
    </w:p>
    <w:p w14:paraId="0A6B6897" w14:textId="0A1D48E6" w:rsidR="006A09FC" w:rsidRPr="002771C4" w:rsidRDefault="00711599" w:rsidP="00332050">
      <w:pPr>
        <w:pStyle w:val="ListParagraph"/>
        <w:numPr>
          <w:ilvl w:val="0"/>
          <w:numId w:val="18"/>
        </w:numPr>
        <w:pBdr>
          <w:top w:val="nil"/>
          <w:left w:val="nil"/>
          <w:bottom w:val="nil"/>
          <w:right w:val="nil"/>
          <w:between w:val="nil"/>
        </w:pBdr>
        <w:spacing w:after="0" w:line="240" w:lineRule="auto"/>
        <w:rPr>
          <w:color w:val="000000"/>
        </w:rPr>
      </w:pPr>
      <w:r w:rsidRPr="00E94E7C">
        <w:t>The</w:t>
      </w:r>
      <w:r w:rsidR="006A09FC" w:rsidRPr="00E94E7C">
        <w:t xml:space="preserve"> European Archaeology Council (EAC) guidance on public benefit </w:t>
      </w:r>
    </w:p>
    <w:p w14:paraId="20826551" w14:textId="19010992" w:rsidR="00FE716F" w:rsidRPr="002771C4" w:rsidRDefault="00FE716F" w:rsidP="00332050">
      <w:pPr>
        <w:pStyle w:val="ListParagraph"/>
        <w:numPr>
          <w:ilvl w:val="0"/>
          <w:numId w:val="18"/>
        </w:numPr>
        <w:pBdr>
          <w:top w:val="nil"/>
          <w:left w:val="nil"/>
          <w:bottom w:val="nil"/>
          <w:right w:val="nil"/>
          <w:between w:val="nil"/>
        </w:pBdr>
        <w:spacing w:after="0" w:line="240" w:lineRule="auto"/>
        <w:rPr>
          <w:color w:val="000000"/>
        </w:rPr>
      </w:pPr>
      <w:r w:rsidRPr="002771C4">
        <w:rPr>
          <w:color w:val="000000"/>
        </w:rPr>
        <w:t>Historic England’s work on community development and wellbeing</w:t>
      </w:r>
    </w:p>
    <w:p w14:paraId="35C9F340" w14:textId="77777777" w:rsidR="00DF44FF" w:rsidRPr="002771C4" w:rsidRDefault="00DF44FF" w:rsidP="00332050">
      <w:pPr>
        <w:pBdr>
          <w:top w:val="nil"/>
          <w:left w:val="nil"/>
          <w:bottom w:val="nil"/>
          <w:right w:val="nil"/>
          <w:between w:val="nil"/>
        </w:pBdr>
        <w:spacing w:after="0" w:line="240" w:lineRule="auto"/>
        <w:rPr>
          <w:color w:val="000000"/>
        </w:rPr>
      </w:pPr>
    </w:p>
    <w:p w14:paraId="35C9F341" w14:textId="1B1937D3" w:rsidR="00DF44FF" w:rsidRPr="002677C1" w:rsidRDefault="00067CAE" w:rsidP="006F1565">
      <w:pPr>
        <w:spacing w:line="240" w:lineRule="auto"/>
        <w:rPr>
          <w:b/>
        </w:rPr>
      </w:pPr>
      <w:r w:rsidRPr="002677C1">
        <w:rPr>
          <w:b/>
        </w:rPr>
        <w:t>Methods and scope</w:t>
      </w:r>
    </w:p>
    <w:p w14:paraId="4F8F71BA" w14:textId="78C98FBE" w:rsidR="0021086C" w:rsidRPr="002771C4" w:rsidRDefault="00067CAE" w:rsidP="00332050">
      <w:pPr>
        <w:spacing w:line="240" w:lineRule="auto"/>
      </w:pPr>
      <w:r w:rsidRPr="002771C4">
        <w:t xml:space="preserve">The project </w:t>
      </w:r>
      <w:r w:rsidR="00C15DE6" w:rsidRPr="002771C4">
        <w:t xml:space="preserve">method will be developed by the </w:t>
      </w:r>
      <w:r w:rsidR="00F44E2C">
        <w:t>appointed consultant</w:t>
      </w:r>
      <w:r w:rsidR="00C15DE6" w:rsidRPr="002771C4">
        <w:t xml:space="preserve"> undertaking the </w:t>
      </w:r>
      <w:r w:rsidR="00F44E2C" w:rsidRPr="002771C4">
        <w:t>project;</w:t>
      </w:r>
      <w:r w:rsidR="00C15DE6" w:rsidRPr="002771C4">
        <w:t xml:space="preserve"> </w:t>
      </w:r>
      <w:r w:rsidR="00F44E2C" w:rsidRPr="002771C4">
        <w:t>however,</w:t>
      </w:r>
      <w:r w:rsidR="00C15DE6" w:rsidRPr="002771C4">
        <w:t xml:space="preserve"> it is envisaged that</w:t>
      </w:r>
      <w:r w:rsidR="0021086C" w:rsidRPr="002771C4">
        <w:t xml:space="preserve"> the work will include:</w:t>
      </w:r>
    </w:p>
    <w:p w14:paraId="3F9F7209" w14:textId="35BFD9B4" w:rsidR="00164EC3" w:rsidRPr="00FB79C1" w:rsidRDefault="0021086C" w:rsidP="00332050">
      <w:pPr>
        <w:pStyle w:val="ListParagraph"/>
        <w:numPr>
          <w:ilvl w:val="0"/>
          <w:numId w:val="19"/>
        </w:numPr>
        <w:spacing w:line="240" w:lineRule="auto"/>
      </w:pPr>
      <w:r w:rsidRPr="002771C4">
        <w:t xml:space="preserve">Consultation with the archaeology sector </w:t>
      </w:r>
      <w:r w:rsidR="00C05B12" w:rsidRPr="00FB79C1">
        <w:t xml:space="preserve">on the scope and content of the suite of guidance </w:t>
      </w:r>
      <w:r w:rsidR="00EF157B">
        <w:t xml:space="preserve">(including case studies) </w:t>
      </w:r>
      <w:r w:rsidR="00C05B12" w:rsidRPr="00FB79C1">
        <w:t>(see below)</w:t>
      </w:r>
    </w:p>
    <w:p w14:paraId="4BF0C222" w14:textId="6FCF161D" w:rsidR="00C05B12" w:rsidRPr="00FB79C1" w:rsidRDefault="00164EC3" w:rsidP="00332050">
      <w:pPr>
        <w:pStyle w:val="ListParagraph"/>
        <w:numPr>
          <w:ilvl w:val="0"/>
          <w:numId w:val="19"/>
        </w:numPr>
        <w:spacing w:line="240" w:lineRule="auto"/>
      </w:pPr>
      <w:r w:rsidRPr="00FB79C1">
        <w:t xml:space="preserve">Consultation with local authorities and contractors on the development of the </w:t>
      </w:r>
      <w:r w:rsidR="00BD3150" w:rsidRPr="00FB79C1">
        <w:t>gui</w:t>
      </w:r>
      <w:r w:rsidR="00D00F73" w:rsidRPr="00FB79C1">
        <w:t xml:space="preserve">dance </w:t>
      </w:r>
      <w:r w:rsidR="00C05B12" w:rsidRPr="00FB79C1">
        <w:t>implementation plan</w:t>
      </w:r>
    </w:p>
    <w:p w14:paraId="35C9F342" w14:textId="261B8FFC" w:rsidR="00DF44FF" w:rsidRPr="00FB79C1" w:rsidRDefault="00C05B12" w:rsidP="00332050">
      <w:pPr>
        <w:pStyle w:val="ListParagraph"/>
        <w:numPr>
          <w:ilvl w:val="0"/>
          <w:numId w:val="19"/>
        </w:numPr>
        <w:spacing w:line="240" w:lineRule="auto"/>
      </w:pPr>
      <w:r w:rsidRPr="00FB79C1">
        <w:t>Creation of a</w:t>
      </w:r>
      <w:r w:rsidR="00C95E75" w:rsidRPr="00FB79C1">
        <w:t xml:space="preserve"> project advisory board to support the project</w:t>
      </w:r>
    </w:p>
    <w:p w14:paraId="0A6F8C0B" w14:textId="2F203E7A" w:rsidR="00444468" w:rsidRPr="00FB79C1" w:rsidRDefault="00444468" w:rsidP="00332050">
      <w:pPr>
        <w:pStyle w:val="ListParagraph"/>
        <w:numPr>
          <w:ilvl w:val="0"/>
          <w:numId w:val="19"/>
        </w:numPr>
        <w:spacing w:line="240" w:lineRule="auto"/>
      </w:pPr>
      <w:r w:rsidRPr="00FB79C1">
        <w:t xml:space="preserve">Working with CIfA to identify gaps in the current </w:t>
      </w:r>
      <w:r w:rsidR="006970C9">
        <w:t>S</w:t>
      </w:r>
      <w:r w:rsidRPr="00FB79C1">
        <w:t xml:space="preserve">tandards </w:t>
      </w:r>
      <w:r w:rsidR="006970C9">
        <w:t xml:space="preserve">and guidance </w:t>
      </w:r>
      <w:r w:rsidRPr="00FB79C1">
        <w:t xml:space="preserve">and </w:t>
      </w:r>
      <w:r w:rsidR="00C61607" w:rsidRPr="00FB79C1">
        <w:t xml:space="preserve">to provide updates to these </w:t>
      </w:r>
      <w:r w:rsidR="0027317D" w:rsidRPr="00FB79C1">
        <w:t>referencing</w:t>
      </w:r>
      <w:r w:rsidR="005723D2" w:rsidRPr="00FB79C1">
        <w:t xml:space="preserve"> community engagement</w:t>
      </w:r>
    </w:p>
    <w:p w14:paraId="1CAC74DF" w14:textId="1455FD14" w:rsidR="00CF0490" w:rsidRPr="00FB79C1" w:rsidRDefault="007F5E2A" w:rsidP="00332050">
      <w:pPr>
        <w:pStyle w:val="ListParagraph"/>
        <w:numPr>
          <w:ilvl w:val="0"/>
          <w:numId w:val="19"/>
        </w:numPr>
        <w:spacing w:line="240" w:lineRule="auto"/>
      </w:pPr>
      <w:r w:rsidRPr="00FB79C1">
        <w:t>Develop a</w:t>
      </w:r>
      <w:r w:rsidR="00D95482" w:rsidRPr="00FB79C1">
        <w:t xml:space="preserve">n evaluation plan to </w:t>
      </w:r>
      <w:r w:rsidR="00CF0490" w:rsidRPr="00FB79C1">
        <w:t xml:space="preserve">assess the </w:t>
      </w:r>
      <w:r w:rsidR="00D95482" w:rsidRPr="00FB79C1">
        <w:t xml:space="preserve">impact of the guidance </w:t>
      </w:r>
    </w:p>
    <w:p w14:paraId="35C9F347" w14:textId="1F0C62C9" w:rsidR="00DF44FF" w:rsidRPr="00FB79C1" w:rsidRDefault="00067CAE" w:rsidP="00332050">
      <w:pPr>
        <w:spacing w:line="240" w:lineRule="auto"/>
        <w:ind w:left="360"/>
      </w:pPr>
      <w:r w:rsidRPr="00FB79C1">
        <w:t xml:space="preserve">It is envisaged that the suite of guidance will cover </w:t>
      </w:r>
      <w:r w:rsidR="00C95E75" w:rsidRPr="00FB79C1">
        <w:t xml:space="preserve">various aspects associated with community engagement </w:t>
      </w:r>
      <w:r w:rsidR="00016456" w:rsidRPr="00FB79C1">
        <w:t>– broad areas and those directly associated with the context of archaeological investigations,</w:t>
      </w:r>
      <w:r w:rsidR="005723D2" w:rsidRPr="00FB79C1">
        <w:t xml:space="preserve"> </w:t>
      </w:r>
      <w:r w:rsidRPr="00FB79C1">
        <w:t>including:</w:t>
      </w:r>
    </w:p>
    <w:p w14:paraId="35C9F348" w14:textId="737B804B" w:rsidR="00DF44FF" w:rsidRPr="00FB79C1" w:rsidRDefault="00067CAE" w:rsidP="00332050">
      <w:pPr>
        <w:pStyle w:val="ListParagraph"/>
        <w:numPr>
          <w:ilvl w:val="0"/>
          <w:numId w:val="12"/>
        </w:numPr>
        <w:spacing w:line="240" w:lineRule="auto"/>
      </w:pPr>
      <w:r w:rsidRPr="00FB79C1">
        <w:t xml:space="preserve">Introduction </w:t>
      </w:r>
      <w:r w:rsidR="00444468" w:rsidRPr="00FB79C1">
        <w:t xml:space="preserve">and definition of community engagement </w:t>
      </w:r>
    </w:p>
    <w:p w14:paraId="35C9F349" w14:textId="77777777" w:rsidR="00DF44FF" w:rsidRPr="00FB79C1" w:rsidRDefault="00067CAE" w:rsidP="00332050">
      <w:pPr>
        <w:pStyle w:val="ListParagraph"/>
        <w:numPr>
          <w:ilvl w:val="0"/>
          <w:numId w:val="12"/>
        </w:numPr>
        <w:spacing w:line="240" w:lineRule="auto"/>
      </w:pPr>
      <w:r w:rsidRPr="00FB79C1">
        <w:t>Ethical considerations</w:t>
      </w:r>
    </w:p>
    <w:p w14:paraId="35C9F34A" w14:textId="77777777" w:rsidR="00DF44FF" w:rsidRPr="00FB79C1" w:rsidRDefault="00067CAE" w:rsidP="00332050">
      <w:pPr>
        <w:pStyle w:val="ListParagraph"/>
        <w:numPr>
          <w:ilvl w:val="0"/>
          <w:numId w:val="12"/>
        </w:numPr>
        <w:spacing w:line="240" w:lineRule="auto"/>
      </w:pPr>
      <w:r w:rsidRPr="00FB79C1">
        <w:t>Legal considerations</w:t>
      </w:r>
    </w:p>
    <w:p w14:paraId="35C9F34B" w14:textId="77777777" w:rsidR="00DF44FF" w:rsidRPr="00FB79C1" w:rsidRDefault="00067CAE" w:rsidP="00332050">
      <w:pPr>
        <w:pStyle w:val="ListParagraph"/>
        <w:numPr>
          <w:ilvl w:val="0"/>
          <w:numId w:val="12"/>
        </w:numPr>
        <w:spacing w:line="240" w:lineRule="auto"/>
      </w:pPr>
      <w:r w:rsidRPr="00FB79C1">
        <w:t>Project commissioning considerations</w:t>
      </w:r>
    </w:p>
    <w:p w14:paraId="35C9F34C" w14:textId="77777777" w:rsidR="00DF44FF" w:rsidRPr="00FB79C1" w:rsidRDefault="00067CAE" w:rsidP="00332050">
      <w:pPr>
        <w:pStyle w:val="ListParagraph"/>
        <w:numPr>
          <w:ilvl w:val="0"/>
          <w:numId w:val="12"/>
        </w:numPr>
        <w:spacing w:line="240" w:lineRule="auto"/>
      </w:pPr>
      <w:bookmarkStart w:id="1" w:name="_gjdgxs" w:colFirst="0" w:colLast="0"/>
      <w:bookmarkEnd w:id="1"/>
      <w:r w:rsidRPr="00FB79C1">
        <w:t>Types of public engagement activities</w:t>
      </w:r>
    </w:p>
    <w:p w14:paraId="35C9F34D" w14:textId="631FDDCB" w:rsidR="00DF44FF" w:rsidRPr="002771C4" w:rsidRDefault="00067CAE" w:rsidP="00332050">
      <w:pPr>
        <w:pStyle w:val="ListParagraph"/>
        <w:numPr>
          <w:ilvl w:val="0"/>
          <w:numId w:val="12"/>
        </w:numPr>
        <w:spacing w:line="240" w:lineRule="auto"/>
      </w:pPr>
      <w:r w:rsidRPr="00FB79C1">
        <w:t xml:space="preserve">Working with </w:t>
      </w:r>
      <w:r w:rsidRPr="002771C4">
        <w:t>volunteers (</w:t>
      </w:r>
      <w:r w:rsidR="00BE31B2" w:rsidRPr="008B5B9C">
        <w:t xml:space="preserve">co creation and </w:t>
      </w:r>
      <w:r w:rsidRPr="002771C4">
        <w:t>working towards a volunteer empowerment model)</w:t>
      </w:r>
    </w:p>
    <w:p w14:paraId="35C9F34E" w14:textId="77777777" w:rsidR="00DF44FF" w:rsidRPr="002771C4" w:rsidRDefault="00067CAE" w:rsidP="00332050">
      <w:pPr>
        <w:pStyle w:val="ListParagraph"/>
        <w:numPr>
          <w:ilvl w:val="0"/>
          <w:numId w:val="12"/>
        </w:numPr>
        <w:spacing w:line="240" w:lineRule="auto"/>
      </w:pPr>
      <w:r w:rsidRPr="002771C4">
        <w:t>Practical considerations</w:t>
      </w:r>
    </w:p>
    <w:p w14:paraId="35C9F34F" w14:textId="4B9A980F" w:rsidR="00DF44FF" w:rsidRPr="002771C4" w:rsidRDefault="00067CAE" w:rsidP="00332050">
      <w:pPr>
        <w:pStyle w:val="ListParagraph"/>
        <w:numPr>
          <w:ilvl w:val="0"/>
          <w:numId w:val="12"/>
        </w:numPr>
        <w:spacing w:line="240" w:lineRule="auto"/>
      </w:pPr>
      <w:r w:rsidRPr="002771C4">
        <w:t xml:space="preserve">Reporting and archiving </w:t>
      </w:r>
    </w:p>
    <w:p w14:paraId="35C9F350" w14:textId="77777777" w:rsidR="00DF44FF" w:rsidRPr="002771C4" w:rsidRDefault="00067CAE" w:rsidP="00332050">
      <w:pPr>
        <w:pStyle w:val="ListParagraph"/>
        <w:numPr>
          <w:ilvl w:val="0"/>
          <w:numId w:val="12"/>
        </w:numPr>
        <w:spacing w:line="240" w:lineRule="auto"/>
      </w:pPr>
      <w:r w:rsidRPr="002771C4">
        <w:t>Assessment – impact of projects</w:t>
      </w:r>
    </w:p>
    <w:p w14:paraId="35C9F351" w14:textId="04C844B4" w:rsidR="00DF44FF" w:rsidRPr="002771C4" w:rsidRDefault="00067CAE" w:rsidP="00332050">
      <w:pPr>
        <w:pStyle w:val="ListParagraph"/>
        <w:numPr>
          <w:ilvl w:val="0"/>
          <w:numId w:val="12"/>
        </w:numPr>
        <w:spacing w:line="240" w:lineRule="auto"/>
      </w:pPr>
      <w:r w:rsidRPr="002771C4">
        <w:t xml:space="preserve">Evaluation models </w:t>
      </w:r>
    </w:p>
    <w:p w14:paraId="778601C5" w14:textId="77777777" w:rsidR="00C56CC6" w:rsidRPr="002771C4" w:rsidRDefault="00067CAE" w:rsidP="00332050">
      <w:pPr>
        <w:pStyle w:val="ListParagraph"/>
        <w:numPr>
          <w:ilvl w:val="0"/>
          <w:numId w:val="12"/>
        </w:numPr>
        <w:spacing w:line="240" w:lineRule="auto"/>
      </w:pPr>
      <w:r w:rsidRPr="002771C4">
        <w:t xml:space="preserve">Sustainability </w:t>
      </w:r>
      <w:r w:rsidR="00C56CC6" w:rsidRPr="002771C4">
        <w:t xml:space="preserve">of engagement </w:t>
      </w:r>
    </w:p>
    <w:p w14:paraId="0A0D2ECA" w14:textId="3E37C861" w:rsidR="00EA447D" w:rsidRDefault="00067CAE" w:rsidP="00332050">
      <w:pPr>
        <w:spacing w:line="240" w:lineRule="auto"/>
      </w:pPr>
      <w:r w:rsidRPr="002771C4">
        <w:t xml:space="preserve">Different methods to promote the </w:t>
      </w:r>
      <w:r w:rsidR="00FB79C1">
        <w:t>Toolkit</w:t>
      </w:r>
      <w:r w:rsidRPr="00FB79C1">
        <w:t xml:space="preserve"> will be identified as part of this project and developed into an implementation plan, however it is outside the scope of this project to undertake its implementation. It is envisaged that the implementation will become the responsibility of those organisations engaged with developing, </w:t>
      </w:r>
      <w:proofErr w:type="gramStart"/>
      <w:r w:rsidRPr="00FB79C1">
        <w:t>commissioning</w:t>
      </w:r>
      <w:proofErr w:type="gramEnd"/>
      <w:r w:rsidRPr="00FB79C1">
        <w:t xml:space="preserve"> or advising on community archaeology and community engagement projects.</w:t>
      </w:r>
    </w:p>
    <w:p w14:paraId="2F183C7E" w14:textId="04C3907D" w:rsidR="00897425" w:rsidRPr="00D2000F" w:rsidRDefault="00EA447D" w:rsidP="00EA447D">
      <w:pPr>
        <w:spacing w:line="240" w:lineRule="auto"/>
        <w:rPr>
          <w:b/>
        </w:rPr>
      </w:pPr>
      <w:r w:rsidRPr="00D2000F">
        <w:rPr>
          <w:b/>
        </w:rPr>
        <w:t>Assessing Impact</w:t>
      </w:r>
    </w:p>
    <w:p w14:paraId="21742E61" w14:textId="2B430BB1" w:rsidR="00EA447D" w:rsidRPr="002771C4" w:rsidRDefault="00092A48" w:rsidP="00EA447D">
      <w:pPr>
        <w:spacing w:line="240" w:lineRule="auto"/>
      </w:pPr>
      <w:r>
        <w:t>Reviewing the implementation of this guidanc</w:t>
      </w:r>
      <w:r w:rsidR="00257614">
        <w:t>e and identifying ways to</w:t>
      </w:r>
      <w:r w:rsidR="00BA5707">
        <w:t xml:space="preserve"> meaningfully </w:t>
      </w:r>
      <w:r w:rsidR="00257614">
        <w:t>assess its impact</w:t>
      </w:r>
      <w:r w:rsidR="0042370B">
        <w:t xml:space="preserve"> is essential.</w:t>
      </w:r>
      <w:r w:rsidR="001B33BC">
        <w:t xml:space="preserve"> </w:t>
      </w:r>
      <w:r w:rsidR="00D82DC1">
        <w:t>Looking in more detail both in terms of</w:t>
      </w:r>
      <w:r w:rsidR="001C4F76">
        <w:t xml:space="preserve"> qualitative and </w:t>
      </w:r>
      <w:r w:rsidR="00D82DC1">
        <w:t xml:space="preserve">quantitative analysis is essential to help understand how </w:t>
      </w:r>
      <w:r w:rsidR="00F6708C">
        <w:t>often the guidance is being used</w:t>
      </w:r>
      <w:r w:rsidR="0022331B">
        <w:t xml:space="preserve"> by the target audiences but </w:t>
      </w:r>
      <w:r w:rsidR="00C172FC">
        <w:t>also</w:t>
      </w:r>
      <w:r w:rsidR="0022331B">
        <w:t xml:space="preserve"> </w:t>
      </w:r>
      <w:r w:rsidR="0022331B">
        <w:lastRenderedPageBreak/>
        <w:t xml:space="preserve">how that use is </w:t>
      </w:r>
      <w:r w:rsidR="006E2298">
        <w:t xml:space="preserve">ultimately </w:t>
      </w:r>
      <w:r w:rsidR="0022331B">
        <w:t xml:space="preserve">being translated </w:t>
      </w:r>
      <w:r w:rsidR="006E2298">
        <w:t>into public benefit</w:t>
      </w:r>
      <w:r w:rsidR="003B6808">
        <w:t xml:space="preserve"> and </w:t>
      </w:r>
      <w:r w:rsidR="00C172FC">
        <w:t>how communities</w:t>
      </w:r>
      <w:r w:rsidR="003B6808">
        <w:t xml:space="preserve"> are</w:t>
      </w:r>
      <w:r w:rsidR="00C172FC">
        <w:t xml:space="preserve"> benefiting from</w:t>
      </w:r>
      <w:r w:rsidR="00B84FFB">
        <w:t xml:space="preserve"> the</w:t>
      </w:r>
      <w:r w:rsidR="00C172FC">
        <w:t xml:space="preserve"> engagement</w:t>
      </w:r>
      <w:r w:rsidR="00B84FFB">
        <w:t xml:space="preserve"> as a result</w:t>
      </w:r>
      <w:r w:rsidR="001D75C7">
        <w:t xml:space="preserve"> </w:t>
      </w:r>
      <w:r w:rsidR="003B6808">
        <w:t>(</w:t>
      </w:r>
      <w:r w:rsidR="001D75C7">
        <w:t xml:space="preserve">as outlined in the Historic England publication </w:t>
      </w:r>
      <w:hyperlink r:id="rId17" w:history="1">
        <w:r w:rsidR="001D75C7" w:rsidRPr="00C172FC">
          <w:rPr>
            <w:rStyle w:val="Hyperlink"/>
            <w:i/>
            <w:iCs/>
          </w:rPr>
          <w:t>Wellbeing and the Historic Environment</w:t>
        </w:r>
      </w:hyperlink>
      <w:r w:rsidR="003B6808">
        <w:t>)</w:t>
      </w:r>
      <w:r w:rsidR="001D75C7">
        <w:rPr>
          <w:i/>
          <w:iCs/>
        </w:rPr>
        <w:t>.</w:t>
      </w:r>
      <w:r w:rsidR="00EB3BE9">
        <w:t xml:space="preserve"> </w:t>
      </w:r>
      <w:r w:rsidR="001B33BC">
        <w:t>Though the timescale for evaluat</w:t>
      </w:r>
      <w:r w:rsidR="00B37654">
        <w:t>ing</w:t>
      </w:r>
      <w:r w:rsidR="00A44DD4">
        <w:t xml:space="preserve"> </w:t>
      </w:r>
      <w:r w:rsidR="00B84FFB">
        <w:t xml:space="preserve">longer term </w:t>
      </w:r>
      <w:r w:rsidR="00A44DD4">
        <w:t>use and</w:t>
      </w:r>
      <w:r w:rsidR="00B37654">
        <w:t xml:space="preserve"> impact</w:t>
      </w:r>
      <w:r w:rsidR="001B33BC">
        <w:t xml:space="preserve"> </w:t>
      </w:r>
      <w:r w:rsidR="00A44DD4">
        <w:t>fall</w:t>
      </w:r>
      <w:r w:rsidR="001F71EA">
        <w:t>s</w:t>
      </w:r>
      <w:r w:rsidR="001B33BC">
        <w:t xml:space="preserve"> outside of the scope of this project</w:t>
      </w:r>
      <w:r w:rsidR="00C16B76">
        <w:t>, a plan</w:t>
      </w:r>
      <w:r w:rsidR="00986F3F">
        <w:t>/</w:t>
      </w:r>
      <w:r w:rsidR="003B6808">
        <w:t>ro</w:t>
      </w:r>
      <w:r w:rsidR="00986F3F">
        <w:t>a</w:t>
      </w:r>
      <w:r w:rsidR="003B6808">
        <w:t>d map</w:t>
      </w:r>
      <w:r w:rsidR="00C16B76">
        <w:t xml:space="preserve"> </w:t>
      </w:r>
      <w:r w:rsidR="001F71EA">
        <w:t>identif</w:t>
      </w:r>
      <w:r w:rsidR="00986F3F">
        <w:t>ying s</w:t>
      </w:r>
      <w:r w:rsidR="001F71EA">
        <w:t xml:space="preserve">ome </w:t>
      </w:r>
      <w:proofErr w:type="gramStart"/>
      <w:r w:rsidR="007375C1">
        <w:t>short and medium term</w:t>
      </w:r>
      <w:proofErr w:type="gramEnd"/>
      <w:r w:rsidR="007375C1">
        <w:t xml:space="preserve"> evaluation tools </w:t>
      </w:r>
      <w:r w:rsidR="00A44DD4">
        <w:t>will</w:t>
      </w:r>
      <w:r w:rsidR="007375C1">
        <w:t xml:space="preserve"> </w:t>
      </w:r>
      <w:r w:rsidR="00A44DD4">
        <w:t>be produced as a</w:t>
      </w:r>
      <w:r w:rsidR="00C16B76">
        <w:t xml:space="preserve"> </w:t>
      </w:r>
      <w:r w:rsidR="00986F3F">
        <w:t xml:space="preserve">key </w:t>
      </w:r>
      <w:r w:rsidR="00B37654">
        <w:t>product</w:t>
      </w:r>
      <w:r w:rsidR="0008207F">
        <w:t xml:space="preserve">. These tools will </w:t>
      </w:r>
      <w:r w:rsidR="00D07273">
        <w:t xml:space="preserve">help </w:t>
      </w:r>
      <w:r w:rsidR="00D07273" w:rsidRPr="002771C4">
        <w:t>to assess the effectiveness of the guidance in meeting its two main aims</w:t>
      </w:r>
      <w:r w:rsidR="00B0626E">
        <w:t xml:space="preserve"> over a shorter </w:t>
      </w:r>
      <w:proofErr w:type="gramStart"/>
      <w:r w:rsidR="00B0626E">
        <w:t>period of time</w:t>
      </w:r>
      <w:proofErr w:type="gramEnd"/>
      <w:r w:rsidR="00B0626E">
        <w:t xml:space="preserve"> but</w:t>
      </w:r>
      <w:r w:rsidR="00D07273">
        <w:t xml:space="preserve"> </w:t>
      </w:r>
      <w:r w:rsidR="00546559">
        <w:t>the ability to</w:t>
      </w:r>
      <w:r w:rsidR="009A3EA9">
        <w:t xml:space="preserve"> </w:t>
      </w:r>
      <w:r w:rsidR="00D07273">
        <w:t>evaluate over a longer period is important</w:t>
      </w:r>
      <w:r w:rsidR="00546559">
        <w:t xml:space="preserve"> and also needs consideration.</w:t>
      </w:r>
      <w:r w:rsidR="00AD4C0F">
        <w:t xml:space="preserve"> </w:t>
      </w:r>
      <w:r w:rsidR="007E2A76">
        <w:t>Having the</w:t>
      </w:r>
      <w:r w:rsidR="00AD4C0F">
        <w:t xml:space="preserve"> means to</w:t>
      </w:r>
      <w:r w:rsidR="009A3EA9">
        <w:t xml:space="preserve"> identify</w:t>
      </w:r>
      <w:r w:rsidR="00FC1804">
        <w:t>, map and better understand</w:t>
      </w:r>
      <w:r w:rsidR="009A3EA9">
        <w:t xml:space="preserve"> how practice </w:t>
      </w:r>
      <w:r w:rsidR="00FC1804">
        <w:t>may have</w:t>
      </w:r>
      <w:r w:rsidR="009A3EA9">
        <w:t xml:space="preserve"> changed </w:t>
      </w:r>
      <w:proofErr w:type="gramStart"/>
      <w:r w:rsidR="009A3EA9">
        <w:t>as a result of</w:t>
      </w:r>
      <w:proofErr w:type="gramEnd"/>
      <w:r w:rsidR="009A3EA9">
        <w:t xml:space="preserve"> the guidance </w:t>
      </w:r>
      <w:r w:rsidR="00FC1804">
        <w:t>being implemented</w:t>
      </w:r>
      <w:r w:rsidR="000907A3">
        <w:t xml:space="preserve">, </w:t>
      </w:r>
      <w:r w:rsidR="007E2A76">
        <w:t xml:space="preserve">and how communities have been able to benefit from the resulting engagement </w:t>
      </w:r>
      <w:r w:rsidR="00833492">
        <w:t>is a</w:t>
      </w:r>
      <w:r w:rsidR="000B7555">
        <w:t xml:space="preserve"> wider</w:t>
      </w:r>
      <w:r w:rsidR="00E3505D">
        <w:t xml:space="preserve"> consideration</w:t>
      </w:r>
      <w:r w:rsidR="000B7555">
        <w:t xml:space="preserve"> for </w:t>
      </w:r>
      <w:r w:rsidR="00E3505D">
        <w:t>several recent projects, especially those involving the production of learning resources and good practice guidance</w:t>
      </w:r>
      <w:r w:rsidR="00282C2C">
        <w:t>. To address this current gap in</w:t>
      </w:r>
      <w:r w:rsidR="00207FBD">
        <w:t xml:space="preserve"> our ability to</w:t>
      </w:r>
      <w:r w:rsidR="00282C2C">
        <w:t xml:space="preserve"> effectively evaluate long</w:t>
      </w:r>
      <w:r w:rsidR="00207FBD">
        <w:t>er</w:t>
      </w:r>
      <w:r w:rsidR="00282C2C">
        <w:t xml:space="preserve"> term </w:t>
      </w:r>
      <w:r w:rsidR="009F6A86">
        <w:t>impacts</w:t>
      </w:r>
      <w:r w:rsidR="00282C2C">
        <w:t xml:space="preserve">, a project </w:t>
      </w:r>
      <w:r w:rsidR="00207FBD">
        <w:t>idea/</w:t>
      </w:r>
      <w:r w:rsidR="009F6A86">
        <w:t>proposal</w:t>
      </w:r>
      <w:r w:rsidR="00282C2C">
        <w:t xml:space="preserve"> is currently being </w:t>
      </w:r>
      <w:r w:rsidR="009F6A86">
        <w:t>discussed between CIfA and DigVentures to produce an evaluation framework</w:t>
      </w:r>
      <w:r w:rsidR="003212AD">
        <w:t xml:space="preserve"> that can be applied to resources such as these</w:t>
      </w:r>
      <w:r w:rsidR="00E5186A">
        <w:t xml:space="preserve">. </w:t>
      </w:r>
      <w:r w:rsidR="009C6CF8">
        <w:t>In the meantime, those evaluation</w:t>
      </w:r>
      <w:r w:rsidR="00C56906">
        <w:t xml:space="preserve"> tools identified for consideration are outlined below and will be </w:t>
      </w:r>
      <w:r w:rsidR="00EA447D" w:rsidRPr="002771C4">
        <w:t xml:space="preserve">developed </w:t>
      </w:r>
      <w:r w:rsidR="009C6CF8">
        <w:t xml:space="preserve">further </w:t>
      </w:r>
      <w:r w:rsidR="00EA447D" w:rsidRPr="002771C4">
        <w:t>by the consultant</w:t>
      </w:r>
      <w:r w:rsidR="00EA447D">
        <w:t>(</w:t>
      </w:r>
      <w:r w:rsidR="00EA447D" w:rsidRPr="002771C4">
        <w:t>s</w:t>
      </w:r>
      <w:r w:rsidR="00EA447D">
        <w:t xml:space="preserve">) </w:t>
      </w:r>
      <w:r w:rsidR="00EA447D" w:rsidRPr="002771C4">
        <w:t>responsible for the project</w:t>
      </w:r>
      <w:r w:rsidR="00C56906">
        <w:t xml:space="preserve"> once appointed</w:t>
      </w:r>
      <w:r w:rsidR="00EA447D" w:rsidRPr="002771C4">
        <w:t xml:space="preserve">: </w:t>
      </w:r>
    </w:p>
    <w:p w14:paraId="0123FD82" w14:textId="77777777" w:rsidR="00EA447D" w:rsidRPr="009D13F8" w:rsidRDefault="00EA447D" w:rsidP="00EA447D">
      <w:pPr>
        <w:pStyle w:val="ListParagraph"/>
        <w:numPr>
          <w:ilvl w:val="0"/>
          <w:numId w:val="22"/>
        </w:numPr>
        <w:spacing w:line="240" w:lineRule="auto"/>
        <w:rPr>
          <w:b/>
          <w:bCs/>
        </w:rPr>
      </w:pPr>
      <w:r w:rsidRPr="009D13F8">
        <w:rPr>
          <w:b/>
          <w:bCs/>
        </w:rPr>
        <w:t>Short term evaluation</w:t>
      </w:r>
    </w:p>
    <w:p w14:paraId="5CC11587" w14:textId="77777777" w:rsidR="00EA447D" w:rsidRPr="00FB79C1" w:rsidRDefault="00EA447D" w:rsidP="00EA447D">
      <w:pPr>
        <w:spacing w:line="240" w:lineRule="auto"/>
      </w:pPr>
      <w:r w:rsidRPr="00FB79C1">
        <w:t xml:space="preserve">To assess the initial impact of the creation of the guidance in terms of how organisations undertake, develop, commission or fund community archaeology projects. This could be evidenced by updates to their own policies and guidance </w:t>
      </w:r>
      <w:r>
        <w:t>e</w:t>
      </w:r>
      <w:r w:rsidRPr="00FB79C1">
        <w:t>g</w:t>
      </w:r>
    </w:p>
    <w:p w14:paraId="6D4219D6" w14:textId="77777777" w:rsidR="00EA447D" w:rsidRPr="00FB79C1" w:rsidRDefault="00EA447D" w:rsidP="00EA447D">
      <w:pPr>
        <w:pStyle w:val="ListParagraph"/>
        <w:numPr>
          <w:ilvl w:val="0"/>
          <w:numId w:val="7"/>
        </w:numPr>
        <w:pBdr>
          <w:top w:val="nil"/>
          <w:left w:val="nil"/>
          <w:bottom w:val="nil"/>
          <w:right w:val="nil"/>
          <w:between w:val="nil"/>
        </w:pBdr>
        <w:spacing w:after="0" w:line="240" w:lineRule="auto"/>
      </w:pPr>
      <w:r w:rsidRPr="00FB79C1">
        <w:rPr>
          <w:color w:val="000000"/>
        </w:rPr>
        <w:t>ALGAO and Local authority historic environment services</w:t>
      </w:r>
    </w:p>
    <w:p w14:paraId="1BE60887" w14:textId="77777777" w:rsidR="00EA447D" w:rsidRPr="00FB79C1" w:rsidRDefault="00EA447D" w:rsidP="00EA447D">
      <w:pPr>
        <w:pStyle w:val="ListParagraph"/>
        <w:numPr>
          <w:ilvl w:val="0"/>
          <w:numId w:val="7"/>
        </w:numPr>
        <w:pBdr>
          <w:top w:val="nil"/>
          <w:left w:val="nil"/>
          <w:bottom w:val="nil"/>
          <w:right w:val="nil"/>
          <w:between w:val="nil"/>
        </w:pBdr>
        <w:spacing w:after="0" w:line="240" w:lineRule="auto"/>
      </w:pPr>
      <w:r w:rsidRPr="00FB79C1">
        <w:rPr>
          <w:color w:val="000000"/>
        </w:rPr>
        <w:t>National organisations – including the National Trust, Forestry Commission, Natural England</w:t>
      </w:r>
    </w:p>
    <w:p w14:paraId="1C272AAE" w14:textId="77777777" w:rsidR="00232247" w:rsidRPr="008155B6" w:rsidRDefault="00EA447D" w:rsidP="00EA447D">
      <w:pPr>
        <w:pStyle w:val="ListParagraph"/>
        <w:numPr>
          <w:ilvl w:val="0"/>
          <w:numId w:val="7"/>
        </w:numPr>
        <w:pBdr>
          <w:top w:val="nil"/>
          <w:left w:val="nil"/>
          <w:bottom w:val="nil"/>
          <w:right w:val="nil"/>
          <w:between w:val="nil"/>
        </w:pBdr>
        <w:spacing w:after="0" w:line="240" w:lineRule="auto"/>
      </w:pPr>
      <w:r w:rsidRPr="00FB79C1">
        <w:rPr>
          <w:color w:val="000000"/>
        </w:rPr>
        <w:t>Commercial contractors</w:t>
      </w:r>
    </w:p>
    <w:p w14:paraId="259D289C" w14:textId="77777777" w:rsidR="00232247" w:rsidRPr="00FB79C1" w:rsidRDefault="00232247" w:rsidP="00232247">
      <w:pPr>
        <w:numPr>
          <w:ilvl w:val="0"/>
          <w:numId w:val="7"/>
        </w:numPr>
        <w:pBdr>
          <w:top w:val="nil"/>
          <w:left w:val="nil"/>
          <w:bottom w:val="nil"/>
          <w:right w:val="nil"/>
          <w:between w:val="nil"/>
        </w:pBdr>
        <w:spacing w:after="0" w:line="240" w:lineRule="auto"/>
      </w:pPr>
      <w:r w:rsidRPr="00FB79C1">
        <w:rPr>
          <w:color w:val="000000"/>
        </w:rPr>
        <w:t>NLHF</w:t>
      </w:r>
    </w:p>
    <w:p w14:paraId="62E1D82A" w14:textId="492AA661" w:rsidR="00EA447D" w:rsidRPr="00FB79C1" w:rsidRDefault="00EA447D" w:rsidP="00CB268C">
      <w:pPr>
        <w:pStyle w:val="ListParagraph"/>
        <w:pBdr>
          <w:top w:val="nil"/>
          <w:left w:val="nil"/>
          <w:bottom w:val="nil"/>
          <w:right w:val="nil"/>
          <w:between w:val="nil"/>
        </w:pBdr>
        <w:spacing w:after="0" w:line="240" w:lineRule="auto"/>
      </w:pPr>
    </w:p>
    <w:p w14:paraId="0D2EBB26" w14:textId="77777777" w:rsidR="00EA447D" w:rsidRPr="009D13F8" w:rsidRDefault="00EA447D" w:rsidP="00EA447D">
      <w:pPr>
        <w:pStyle w:val="ListParagraph"/>
        <w:numPr>
          <w:ilvl w:val="0"/>
          <w:numId w:val="22"/>
        </w:numPr>
        <w:spacing w:line="240" w:lineRule="auto"/>
        <w:rPr>
          <w:b/>
          <w:bCs/>
        </w:rPr>
      </w:pPr>
      <w:r w:rsidRPr="009D13F8">
        <w:rPr>
          <w:b/>
          <w:bCs/>
        </w:rPr>
        <w:t>Medium term (1-3 years):</w:t>
      </w:r>
    </w:p>
    <w:p w14:paraId="54CE45E5" w14:textId="5E28B4D9" w:rsidR="00EA447D" w:rsidRDefault="00EA447D" w:rsidP="00EA447D">
      <w:pPr>
        <w:spacing w:line="240" w:lineRule="auto"/>
      </w:pPr>
      <w:r w:rsidRPr="00FB79C1">
        <w:t xml:space="preserve">The impact that the </w:t>
      </w:r>
      <w:r>
        <w:t>Toolkit</w:t>
      </w:r>
      <w:r w:rsidRPr="00FB79C1">
        <w:t xml:space="preserve"> has had can be measured in the citation of </w:t>
      </w:r>
      <w:r>
        <w:t xml:space="preserve">it </w:t>
      </w:r>
      <w:r w:rsidRPr="00FB79C1">
        <w:t>in development led (and other) project briefs</w:t>
      </w:r>
      <w:r w:rsidR="000C6A29">
        <w:t xml:space="preserve"> </w:t>
      </w:r>
      <w:r w:rsidRPr="00FB79C1">
        <w:t>and project designs</w:t>
      </w:r>
      <w:r>
        <w:t>, in addition to</w:t>
      </w:r>
      <w:r w:rsidRPr="00FB79C1">
        <w:t xml:space="preserve"> </w:t>
      </w:r>
      <w:r>
        <w:t>a</w:t>
      </w:r>
      <w:r w:rsidRPr="00FB79C1">
        <w:t xml:space="preserve">n increase in </w:t>
      </w:r>
      <w:r>
        <w:t>visits to the webpages as evidenced in web analytics data.</w:t>
      </w:r>
    </w:p>
    <w:p w14:paraId="085C38AA" w14:textId="77777777" w:rsidR="00EA447D" w:rsidRPr="00FB79C1" w:rsidRDefault="00EA447D" w:rsidP="00EA447D">
      <w:pPr>
        <w:spacing w:line="240" w:lineRule="auto"/>
      </w:pPr>
      <w:r>
        <w:t>Usage of the Toolkit can also be monitored and recorded as part of the CIfA Registered Organisation inspection process.</w:t>
      </w:r>
    </w:p>
    <w:p w14:paraId="54F67666" w14:textId="5AAED75A" w:rsidR="00EA447D" w:rsidRPr="00FB79C1" w:rsidRDefault="00EA447D" w:rsidP="00EA447D">
      <w:pPr>
        <w:spacing w:line="240" w:lineRule="auto"/>
      </w:pPr>
      <w:r>
        <w:t>Circulating another C</w:t>
      </w:r>
      <w:r w:rsidRPr="00FB79C1">
        <w:t>I</w:t>
      </w:r>
      <w:r>
        <w:t>f</w:t>
      </w:r>
      <w:r w:rsidRPr="00FB79C1">
        <w:t>A</w:t>
      </w:r>
      <w:r>
        <w:t xml:space="preserve"> V&amp;C SIG</w:t>
      </w:r>
      <w:r w:rsidRPr="00FB79C1">
        <w:t xml:space="preserve"> survey of Local Authority </w:t>
      </w:r>
      <w:r w:rsidR="007C3D79">
        <w:t>advisors</w:t>
      </w:r>
      <w:r w:rsidRPr="00FB79C1">
        <w:t xml:space="preserve"> </w:t>
      </w:r>
      <w:r>
        <w:t xml:space="preserve">c </w:t>
      </w:r>
      <w:r w:rsidR="00232247">
        <w:t xml:space="preserve">3 </w:t>
      </w:r>
      <w:r>
        <w:t>years after launch of the Toolkit will help to</w:t>
      </w:r>
      <w:r w:rsidRPr="00FB79C1">
        <w:t xml:space="preserve"> assess whether there ha</w:t>
      </w:r>
      <w:r>
        <w:t>ve</w:t>
      </w:r>
      <w:r w:rsidRPr="00FB79C1">
        <w:t xml:space="preserve"> been any significant changes to the responses</w:t>
      </w:r>
      <w:r>
        <w:t xml:space="preserve"> already received in 2020/21.</w:t>
      </w:r>
    </w:p>
    <w:p w14:paraId="0E28FA14" w14:textId="77777777" w:rsidR="00EA447D" w:rsidRPr="002771C4" w:rsidRDefault="00EA447D" w:rsidP="00EA447D">
      <w:pPr>
        <w:spacing w:line="240" w:lineRule="auto"/>
      </w:pPr>
      <w:r w:rsidRPr="00FB79C1">
        <w:t xml:space="preserve">The above are just </w:t>
      </w:r>
      <w:proofErr w:type="gramStart"/>
      <w:r w:rsidRPr="00FB79C1">
        <w:t>suggestions</w:t>
      </w:r>
      <w:proofErr w:type="gramEnd"/>
      <w:r w:rsidRPr="00FB79C1">
        <w:t xml:space="preserve"> but it is essential that evaluation is developed and </w:t>
      </w:r>
      <w:r>
        <w:t xml:space="preserve">responsibilities </w:t>
      </w:r>
      <w:r w:rsidRPr="00FB79C1">
        <w:t xml:space="preserve">agreed </w:t>
      </w:r>
      <w:r>
        <w:t>as part of the project, even if it falls out of the scope with regards to the initial project funding</w:t>
      </w:r>
      <w:r w:rsidRPr="00FB79C1">
        <w:t>.</w:t>
      </w:r>
    </w:p>
    <w:p w14:paraId="35C9F369" w14:textId="2F4197D7" w:rsidR="00DF44FF" w:rsidRDefault="00747242" w:rsidP="00926F2C">
      <w:pPr>
        <w:spacing w:line="240" w:lineRule="auto"/>
        <w:rPr>
          <w:b/>
        </w:rPr>
      </w:pPr>
      <w:r w:rsidRPr="00747242">
        <w:rPr>
          <w:b/>
          <w:bCs/>
        </w:rPr>
        <w:t>Stages,</w:t>
      </w:r>
      <w:r>
        <w:t xml:space="preserve"> </w:t>
      </w:r>
      <w:r>
        <w:rPr>
          <w:b/>
        </w:rPr>
        <w:t>p</w:t>
      </w:r>
      <w:r w:rsidRPr="00926F2C">
        <w:rPr>
          <w:b/>
        </w:rPr>
        <w:t>roducts,</w:t>
      </w:r>
      <w:r>
        <w:rPr>
          <w:b/>
        </w:rPr>
        <w:t xml:space="preserve"> and tasks</w:t>
      </w:r>
    </w:p>
    <w:p w14:paraId="18C2BAF3" w14:textId="55D26876" w:rsidR="00B40989" w:rsidRPr="00B40989" w:rsidRDefault="00AA1B67" w:rsidP="00B40989">
      <w:pPr>
        <w:spacing w:line="240" w:lineRule="auto"/>
      </w:pPr>
      <w:r w:rsidRPr="002771C4">
        <w:t xml:space="preserve">The </w:t>
      </w:r>
      <w:r w:rsidR="00CB12A7">
        <w:t>project will be undertaken by an</w:t>
      </w:r>
      <w:r w:rsidRPr="002771C4">
        <w:t xml:space="preserve"> </w:t>
      </w:r>
      <w:r>
        <w:t>appointed consultant</w:t>
      </w:r>
      <w:r w:rsidR="00CB12A7">
        <w:t xml:space="preserve">(s) however, the following </w:t>
      </w:r>
      <w:r w:rsidR="007B6EE0">
        <w:t xml:space="preserve">key </w:t>
      </w:r>
      <w:r w:rsidR="00CB12A7">
        <w:t xml:space="preserve">stages, products and tasks have been </w:t>
      </w:r>
      <w:r w:rsidR="007B6EE0">
        <w:t>identified</w:t>
      </w:r>
      <w:r w:rsidR="006406E1">
        <w:t>, along with a draft timescale</w:t>
      </w:r>
      <w:r w:rsidR="00532049">
        <w:t xml:space="preserve">. </w:t>
      </w:r>
      <w:r w:rsidR="00532049" w:rsidRPr="00532049">
        <w:t xml:space="preserve">Pending approval of this proposal, the anticipated start date is </w:t>
      </w:r>
      <w:r w:rsidR="00FF19EA">
        <w:t>August</w:t>
      </w:r>
      <w:r w:rsidR="00532049" w:rsidRPr="00532049">
        <w:t xml:space="preserve"> 2022 to allow time to advertise and appoint a consultant. It is estimated that the project will last c </w:t>
      </w:r>
      <w:r w:rsidR="00232247">
        <w:t>12</w:t>
      </w:r>
      <w:r w:rsidR="00532049" w:rsidRPr="00532049">
        <w:t xml:space="preserve"> months with a completion date of </w:t>
      </w:r>
      <w:r w:rsidR="00232247">
        <w:t>April</w:t>
      </w:r>
      <w:r w:rsidR="00232247" w:rsidRPr="00532049">
        <w:t xml:space="preserve"> </w:t>
      </w:r>
      <w:r w:rsidR="00532049" w:rsidRPr="00532049">
        <w:t>202</w:t>
      </w:r>
      <w:r w:rsidR="00232247">
        <w:t>3</w:t>
      </w:r>
      <w:r w:rsidR="00532049" w:rsidRPr="00532049">
        <w:t>.</w:t>
      </w:r>
      <w:r w:rsidR="007B6EE0">
        <w:t xml:space="preserve"> The</w:t>
      </w:r>
      <w:r w:rsidR="00532049">
        <w:t xml:space="preserve"> outlined stages and tasks</w:t>
      </w:r>
      <w:r w:rsidR="007B6EE0">
        <w:t xml:space="preserve"> may be </w:t>
      </w:r>
      <w:r w:rsidR="006C120A">
        <w:t>a</w:t>
      </w:r>
      <w:r w:rsidR="007B6EE0">
        <w:t>dded to</w:t>
      </w:r>
      <w:r w:rsidR="006C120A">
        <w:t xml:space="preserve"> or amended</w:t>
      </w:r>
      <w:r w:rsidR="007B6EE0">
        <w:t xml:space="preserve"> by the consultant, once appointed</w:t>
      </w:r>
      <w:r w:rsidRPr="002771C4">
        <w:t>:</w:t>
      </w:r>
    </w:p>
    <w:tbl>
      <w:tblPr>
        <w:tblStyle w:val="TableGrid"/>
        <w:tblpPr w:leftFromText="180" w:rightFromText="180" w:vertAnchor="text" w:horzAnchor="page" w:tblpX="2125" w:tblpY="-95"/>
        <w:tblW w:w="8642" w:type="dxa"/>
        <w:tblLook w:val="04A0" w:firstRow="1" w:lastRow="0" w:firstColumn="1" w:lastColumn="0" w:noHBand="0" w:noVBand="1"/>
      </w:tblPr>
      <w:tblGrid>
        <w:gridCol w:w="1383"/>
        <w:gridCol w:w="7259"/>
      </w:tblGrid>
      <w:tr w:rsidR="00B1299A" w:rsidRPr="00E7609D" w14:paraId="50066EC1" w14:textId="77777777" w:rsidTr="00B1299A">
        <w:tc>
          <w:tcPr>
            <w:tcW w:w="8642" w:type="dxa"/>
            <w:gridSpan w:val="2"/>
            <w:shd w:val="clear" w:color="auto" w:fill="F2F2F2" w:themeFill="background1" w:themeFillShade="F2"/>
          </w:tcPr>
          <w:p w14:paraId="78E3A38E" w14:textId="7BAB9F99" w:rsidR="00B1299A" w:rsidRPr="006406E1" w:rsidRDefault="00B1299A" w:rsidP="00B1299A">
            <w:pPr>
              <w:pStyle w:val="Heading2"/>
              <w:ind w:right="78"/>
              <w:outlineLvl w:val="1"/>
              <w:rPr>
                <w:rFonts w:asciiTheme="majorHAnsi" w:hAnsiTheme="majorHAnsi" w:cstheme="majorHAnsi"/>
                <w:b/>
                <w:bCs/>
                <w:sz w:val="22"/>
                <w:szCs w:val="22"/>
              </w:rPr>
            </w:pPr>
            <w:r w:rsidRPr="006406E1">
              <w:rPr>
                <w:rFonts w:asciiTheme="majorHAnsi" w:hAnsiTheme="majorHAnsi" w:cstheme="majorHAnsi"/>
                <w:b/>
                <w:bCs/>
                <w:sz w:val="22"/>
                <w:szCs w:val="22"/>
              </w:rPr>
              <w:lastRenderedPageBreak/>
              <w:t xml:space="preserve">Stage </w:t>
            </w:r>
            <w:proofErr w:type="gramStart"/>
            <w:r w:rsidRPr="006406E1">
              <w:rPr>
                <w:rFonts w:asciiTheme="majorHAnsi" w:hAnsiTheme="majorHAnsi" w:cstheme="majorHAnsi"/>
                <w:b/>
                <w:bCs/>
                <w:sz w:val="22"/>
                <w:szCs w:val="22"/>
              </w:rPr>
              <w:t xml:space="preserve">1  </w:t>
            </w:r>
            <w:r w:rsidRPr="006406E1">
              <w:rPr>
                <w:rFonts w:asciiTheme="majorHAnsi" w:eastAsiaTheme="minorHAnsi" w:hAnsiTheme="majorHAnsi" w:cstheme="majorHAnsi"/>
                <w:b/>
                <w:bCs/>
                <w:color w:val="000000"/>
                <w:sz w:val="22"/>
                <w:szCs w:val="22"/>
              </w:rPr>
              <w:t>ASSEMBLING</w:t>
            </w:r>
            <w:proofErr w:type="gramEnd"/>
            <w:r w:rsidRPr="006406E1">
              <w:rPr>
                <w:rFonts w:asciiTheme="majorHAnsi" w:eastAsiaTheme="minorHAnsi" w:hAnsiTheme="majorHAnsi" w:cstheme="majorHAnsi"/>
                <w:b/>
                <w:bCs/>
                <w:color w:val="000000"/>
                <w:sz w:val="22"/>
                <w:szCs w:val="22"/>
              </w:rPr>
              <w:t xml:space="preserve"> THE TOOLKIT</w:t>
            </w:r>
            <w:r w:rsidR="00AA62B5" w:rsidRPr="006406E1">
              <w:rPr>
                <w:rFonts w:asciiTheme="majorHAnsi" w:eastAsiaTheme="minorHAnsi" w:hAnsiTheme="majorHAnsi" w:cstheme="majorHAnsi"/>
                <w:b/>
                <w:bCs/>
                <w:color w:val="000000"/>
                <w:sz w:val="22"/>
                <w:szCs w:val="22"/>
              </w:rPr>
              <w:t xml:space="preserve"> (</w:t>
            </w:r>
            <w:r w:rsidR="00FF19EA">
              <w:rPr>
                <w:rFonts w:asciiTheme="majorHAnsi" w:eastAsiaTheme="minorHAnsi" w:hAnsiTheme="majorHAnsi" w:cstheme="majorHAnsi"/>
                <w:b/>
                <w:bCs/>
                <w:color w:val="000000"/>
                <w:sz w:val="22"/>
                <w:szCs w:val="22"/>
              </w:rPr>
              <w:t xml:space="preserve">August </w:t>
            </w:r>
            <w:r w:rsidR="00AA6ABF" w:rsidRPr="006406E1">
              <w:rPr>
                <w:rFonts w:asciiTheme="majorHAnsi" w:eastAsiaTheme="minorHAnsi" w:hAnsiTheme="majorHAnsi" w:cstheme="majorHAnsi"/>
                <w:b/>
                <w:bCs/>
                <w:color w:val="000000"/>
                <w:sz w:val="22"/>
                <w:szCs w:val="22"/>
              </w:rPr>
              <w:t>–</w:t>
            </w:r>
            <w:r w:rsidR="00AA62B5" w:rsidRPr="006406E1">
              <w:rPr>
                <w:rFonts w:asciiTheme="majorHAnsi" w:eastAsiaTheme="minorHAnsi" w:hAnsiTheme="majorHAnsi" w:cstheme="majorHAnsi"/>
                <w:b/>
                <w:bCs/>
                <w:color w:val="000000"/>
                <w:sz w:val="22"/>
                <w:szCs w:val="22"/>
              </w:rPr>
              <w:t xml:space="preserve"> </w:t>
            </w:r>
            <w:r w:rsidR="002778A5">
              <w:rPr>
                <w:rFonts w:asciiTheme="majorHAnsi" w:eastAsiaTheme="minorHAnsi" w:hAnsiTheme="majorHAnsi" w:cstheme="majorHAnsi"/>
                <w:b/>
                <w:bCs/>
                <w:color w:val="000000"/>
                <w:sz w:val="22"/>
                <w:szCs w:val="22"/>
              </w:rPr>
              <w:t>October</w:t>
            </w:r>
            <w:r w:rsidR="00AA6ABF" w:rsidRPr="006406E1">
              <w:rPr>
                <w:rFonts w:asciiTheme="majorHAnsi" w:eastAsiaTheme="minorHAnsi" w:hAnsiTheme="majorHAnsi" w:cstheme="majorHAnsi"/>
                <w:b/>
                <w:bCs/>
                <w:color w:val="000000"/>
                <w:sz w:val="22"/>
                <w:szCs w:val="22"/>
              </w:rPr>
              <w:t xml:space="preserve"> 2022)</w:t>
            </w:r>
            <w:r w:rsidR="002778A5">
              <w:rPr>
                <w:rFonts w:asciiTheme="majorHAnsi" w:eastAsiaTheme="minorHAnsi" w:hAnsiTheme="majorHAnsi" w:cstheme="majorHAnsi"/>
                <w:b/>
                <w:bCs/>
                <w:color w:val="000000"/>
                <w:sz w:val="22"/>
                <w:szCs w:val="22"/>
              </w:rPr>
              <w:t xml:space="preserve"> (Subject to change) </w:t>
            </w:r>
          </w:p>
        </w:tc>
      </w:tr>
      <w:tr w:rsidR="00B1299A" w:rsidRPr="00E7609D" w14:paraId="66931C96" w14:textId="77777777" w:rsidTr="00B1299A">
        <w:tc>
          <w:tcPr>
            <w:tcW w:w="1383" w:type="dxa"/>
          </w:tcPr>
          <w:p w14:paraId="21D3B8CF" w14:textId="77777777" w:rsidR="00B1299A" w:rsidRPr="00E7609D" w:rsidRDefault="00B1299A" w:rsidP="00B1299A">
            <w:pPr>
              <w:ind w:left="35"/>
              <w:rPr>
                <w:rFonts w:asciiTheme="majorHAnsi" w:hAnsiTheme="majorHAnsi" w:cstheme="majorHAnsi"/>
              </w:rPr>
            </w:pPr>
            <w:r w:rsidRPr="00E7609D">
              <w:rPr>
                <w:rFonts w:asciiTheme="majorHAnsi" w:hAnsiTheme="majorHAnsi" w:cstheme="majorHAnsi"/>
              </w:rPr>
              <w:t>Tasks</w:t>
            </w:r>
          </w:p>
        </w:tc>
        <w:tc>
          <w:tcPr>
            <w:tcW w:w="7259" w:type="dxa"/>
          </w:tcPr>
          <w:p w14:paraId="15DC1142" w14:textId="05ABDC08" w:rsidR="00E7609D" w:rsidRDefault="00E7609D" w:rsidP="00E7609D">
            <w:pPr>
              <w:pStyle w:val="ListParagraph"/>
              <w:numPr>
                <w:ilvl w:val="0"/>
                <w:numId w:val="25"/>
              </w:numPr>
              <w:autoSpaceDE w:val="0"/>
              <w:autoSpaceDN w:val="0"/>
              <w:adjustRightInd w:val="0"/>
              <w:ind w:left="354" w:hanging="283"/>
              <w:rPr>
                <w:rFonts w:asciiTheme="majorHAnsi" w:hAnsiTheme="majorHAnsi" w:cstheme="majorHAnsi"/>
                <w:color w:val="000000"/>
              </w:rPr>
            </w:pPr>
            <w:r>
              <w:rPr>
                <w:rFonts w:asciiTheme="majorHAnsi" w:hAnsiTheme="majorHAnsi" w:cstheme="majorHAnsi"/>
                <w:color w:val="000000"/>
              </w:rPr>
              <w:t>Commissioning a consultant(s) to undertake the work</w:t>
            </w:r>
          </w:p>
          <w:p w14:paraId="2D24BF80" w14:textId="654EAB4B" w:rsidR="004826A0" w:rsidRDefault="004826A0" w:rsidP="00E7609D">
            <w:pPr>
              <w:pStyle w:val="ListParagraph"/>
              <w:numPr>
                <w:ilvl w:val="0"/>
                <w:numId w:val="25"/>
              </w:numPr>
              <w:autoSpaceDE w:val="0"/>
              <w:autoSpaceDN w:val="0"/>
              <w:adjustRightInd w:val="0"/>
              <w:ind w:left="354" w:hanging="283"/>
              <w:rPr>
                <w:rFonts w:asciiTheme="majorHAnsi" w:hAnsiTheme="majorHAnsi" w:cstheme="majorHAnsi"/>
                <w:color w:val="000000"/>
              </w:rPr>
            </w:pPr>
            <w:r>
              <w:rPr>
                <w:rFonts w:asciiTheme="majorHAnsi" w:hAnsiTheme="majorHAnsi" w:cstheme="majorHAnsi"/>
                <w:color w:val="000000"/>
              </w:rPr>
              <w:t>Establish members of the project advisory board</w:t>
            </w:r>
          </w:p>
          <w:p w14:paraId="23B9E9D6" w14:textId="772F95EC" w:rsidR="001523F0" w:rsidRPr="00CF7C76" w:rsidRDefault="00B1299A" w:rsidP="001523F0">
            <w:pPr>
              <w:pStyle w:val="ListParagraph"/>
              <w:numPr>
                <w:ilvl w:val="0"/>
                <w:numId w:val="25"/>
              </w:numPr>
              <w:autoSpaceDE w:val="0"/>
              <w:autoSpaceDN w:val="0"/>
              <w:adjustRightInd w:val="0"/>
              <w:ind w:left="354" w:hanging="283"/>
              <w:rPr>
                <w:rFonts w:asciiTheme="majorHAnsi" w:hAnsiTheme="majorHAnsi" w:cstheme="majorHAnsi"/>
                <w:color w:val="000000"/>
              </w:rPr>
            </w:pPr>
            <w:r w:rsidRPr="00E7609D">
              <w:rPr>
                <w:rFonts w:asciiTheme="majorHAnsi" w:hAnsiTheme="majorHAnsi" w:cstheme="majorHAnsi"/>
                <w:color w:val="000000"/>
              </w:rPr>
              <w:t xml:space="preserve">Meeting of the </w:t>
            </w:r>
            <w:r w:rsidR="00E7609D" w:rsidRPr="00E7609D">
              <w:rPr>
                <w:rFonts w:asciiTheme="majorHAnsi" w:hAnsiTheme="majorHAnsi" w:cstheme="majorHAnsi"/>
                <w:color w:val="000000"/>
              </w:rPr>
              <w:t xml:space="preserve">advisory </w:t>
            </w:r>
            <w:r w:rsidR="00CE10E1">
              <w:rPr>
                <w:rFonts w:asciiTheme="majorHAnsi" w:hAnsiTheme="majorHAnsi" w:cstheme="majorHAnsi"/>
                <w:color w:val="000000"/>
              </w:rPr>
              <w:t>board, CIfA staff and appointed consultant(s)</w:t>
            </w:r>
            <w:r w:rsidRPr="00E7609D">
              <w:rPr>
                <w:rFonts w:asciiTheme="majorHAnsi" w:hAnsiTheme="majorHAnsi" w:cstheme="majorHAnsi"/>
                <w:color w:val="000000"/>
              </w:rPr>
              <w:t xml:space="preserve"> to agree on the form and components of the </w:t>
            </w:r>
            <w:r w:rsidRPr="00E7609D">
              <w:rPr>
                <w:rFonts w:asciiTheme="majorHAnsi" w:hAnsiTheme="majorHAnsi" w:cstheme="majorHAnsi"/>
                <w:i/>
                <w:iCs/>
              </w:rPr>
              <w:t>Toolkit for</w:t>
            </w:r>
            <w:r w:rsidR="00E7609D" w:rsidRPr="00E7609D">
              <w:rPr>
                <w:rFonts w:asciiTheme="majorHAnsi" w:hAnsiTheme="majorHAnsi" w:cstheme="majorHAnsi"/>
                <w:i/>
                <w:iCs/>
              </w:rPr>
              <w:t xml:space="preserve"> the promotion and delivery of community engagement in archaeology </w:t>
            </w:r>
          </w:p>
          <w:p w14:paraId="77978694" w14:textId="3A4C884B" w:rsidR="00CF7C76" w:rsidRPr="001C2109" w:rsidRDefault="001C2109" w:rsidP="001523F0">
            <w:pPr>
              <w:pStyle w:val="ListParagraph"/>
              <w:numPr>
                <w:ilvl w:val="0"/>
                <w:numId w:val="25"/>
              </w:numPr>
              <w:autoSpaceDE w:val="0"/>
              <w:autoSpaceDN w:val="0"/>
              <w:adjustRightInd w:val="0"/>
              <w:ind w:left="354" w:hanging="283"/>
              <w:rPr>
                <w:rFonts w:asciiTheme="majorHAnsi" w:hAnsiTheme="majorHAnsi" w:cstheme="majorHAnsi"/>
                <w:color w:val="000000"/>
              </w:rPr>
            </w:pPr>
            <w:r>
              <w:rPr>
                <w:rFonts w:asciiTheme="majorHAnsi" w:hAnsiTheme="majorHAnsi" w:cstheme="majorHAnsi"/>
                <w:color w:val="000000"/>
              </w:rPr>
              <w:t>Establish</w:t>
            </w:r>
            <w:r w:rsidR="00CF7C76" w:rsidRPr="001C2109">
              <w:rPr>
                <w:rFonts w:asciiTheme="majorHAnsi" w:hAnsiTheme="majorHAnsi" w:cstheme="majorHAnsi"/>
                <w:color w:val="000000"/>
              </w:rPr>
              <w:t xml:space="preserve"> a </w:t>
            </w:r>
            <w:r w:rsidRPr="001C2109">
              <w:rPr>
                <w:rFonts w:asciiTheme="majorHAnsi" w:hAnsiTheme="majorHAnsi" w:cstheme="majorHAnsi"/>
                <w:color w:val="000000"/>
              </w:rPr>
              <w:t xml:space="preserve">communications network for the sharing of information (Knowledge </w:t>
            </w:r>
            <w:r>
              <w:rPr>
                <w:rFonts w:asciiTheme="majorHAnsi" w:hAnsiTheme="majorHAnsi" w:cstheme="majorHAnsi"/>
                <w:color w:val="000000"/>
              </w:rPr>
              <w:t>H</w:t>
            </w:r>
            <w:r w:rsidRPr="001C2109">
              <w:rPr>
                <w:rFonts w:asciiTheme="majorHAnsi" w:hAnsiTheme="majorHAnsi" w:cstheme="majorHAnsi"/>
                <w:color w:val="000000"/>
              </w:rPr>
              <w:t>ub, for example)</w:t>
            </w:r>
          </w:p>
          <w:p w14:paraId="0D408412" w14:textId="776DFF42" w:rsidR="001523F0" w:rsidRDefault="00B1299A" w:rsidP="001523F0">
            <w:pPr>
              <w:pStyle w:val="ListParagraph"/>
              <w:numPr>
                <w:ilvl w:val="0"/>
                <w:numId w:val="25"/>
              </w:numPr>
              <w:autoSpaceDE w:val="0"/>
              <w:autoSpaceDN w:val="0"/>
              <w:adjustRightInd w:val="0"/>
              <w:ind w:left="354" w:hanging="283"/>
              <w:rPr>
                <w:rFonts w:asciiTheme="majorHAnsi" w:hAnsiTheme="majorHAnsi" w:cstheme="majorHAnsi"/>
                <w:color w:val="000000"/>
              </w:rPr>
            </w:pPr>
            <w:r w:rsidRPr="001523F0">
              <w:rPr>
                <w:rFonts w:asciiTheme="majorHAnsi" w:hAnsiTheme="majorHAnsi" w:cstheme="majorHAnsi"/>
                <w:color w:val="000000"/>
              </w:rPr>
              <w:t>Devising the Toolkit sections and sub-sections</w:t>
            </w:r>
          </w:p>
          <w:p w14:paraId="51E67DE3" w14:textId="3FADDB1D" w:rsidR="00B27B93" w:rsidRDefault="00B27B93" w:rsidP="001523F0">
            <w:pPr>
              <w:pStyle w:val="ListParagraph"/>
              <w:numPr>
                <w:ilvl w:val="0"/>
                <w:numId w:val="25"/>
              </w:numPr>
              <w:autoSpaceDE w:val="0"/>
              <w:autoSpaceDN w:val="0"/>
              <w:adjustRightInd w:val="0"/>
              <w:ind w:left="354" w:hanging="283"/>
              <w:rPr>
                <w:rFonts w:asciiTheme="majorHAnsi" w:hAnsiTheme="majorHAnsi" w:cstheme="majorHAnsi"/>
                <w:color w:val="000000"/>
              </w:rPr>
            </w:pPr>
            <w:r>
              <w:rPr>
                <w:rFonts w:asciiTheme="majorHAnsi" w:hAnsiTheme="majorHAnsi" w:cstheme="majorHAnsi"/>
                <w:color w:val="000000"/>
              </w:rPr>
              <w:t>Collating case studies to signpost to</w:t>
            </w:r>
            <w:r w:rsidR="00FA68D2">
              <w:rPr>
                <w:rFonts w:asciiTheme="majorHAnsi" w:hAnsiTheme="majorHAnsi" w:cstheme="majorHAnsi"/>
                <w:color w:val="000000"/>
              </w:rPr>
              <w:t>,</w:t>
            </w:r>
            <w:r>
              <w:rPr>
                <w:rFonts w:asciiTheme="majorHAnsi" w:hAnsiTheme="majorHAnsi" w:cstheme="majorHAnsi"/>
                <w:color w:val="000000"/>
              </w:rPr>
              <w:t xml:space="preserve"> and identifying gaps where new case studies need to be developed</w:t>
            </w:r>
            <w:r w:rsidR="005A0483">
              <w:rPr>
                <w:rFonts w:asciiTheme="majorHAnsi" w:hAnsiTheme="majorHAnsi" w:cstheme="majorHAnsi"/>
                <w:color w:val="000000"/>
              </w:rPr>
              <w:t xml:space="preserve"> (c 3-5 days as part of the appointed </w:t>
            </w:r>
            <w:proofErr w:type="gramStart"/>
            <w:r w:rsidR="005A0483">
              <w:rPr>
                <w:rFonts w:asciiTheme="majorHAnsi" w:hAnsiTheme="majorHAnsi" w:cstheme="majorHAnsi"/>
                <w:color w:val="000000"/>
              </w:rPr>
              <w:t>consultants</w:t>
            </w:r>
            <w:proofErr w:type="gramEnd"/>
            <w:r w:rsidR="005A0483">
              <w:rPr>
                <w:rFonts w:asciiTheme="majorHAnsi" w:hAnsiTheme="majorHAnsi" w:cstheme="majorHAnsi"/>
                <w:color w:val="000000"/>
              </w:rPr>
              <w:t xml:space="preserve"> remit) </w:t>
            </w:r>
          </w:p>
          <w:p w14:paraId="6D31DCBF" w14:textId="46244A16" w:rsidR="001519BA" w:rsidRDefault="001519BA" w:rsidP="001523F0">
            <w:pPr>
              <w:pStyle w:val="ListParagraph"/>
              <w:numPr>
                <w:ilvl w:val="0"/>
                <w:numId w:val="25"/>
              </w:numPr>
              <w:autoSpaceDE w:val="0"/>
              <w:autoSpaceDN w:val="0"/>
              <w:adjustRightInd w:val="0"/>
              <w:ind w:left="354" w:hanging="283"/>
              <w:rPr>
                <w:rFonts w:asciiTheme="majorHAnsi" w:hAnsiTheme="majorHAnsi" w:cstheme="majorHAnsi"/>
                <w:color w:val="000000"/>
              </w:rPr>
            </w:pPr>
            <w:r>
              <w:rPr>
                <w:rFonts w:asciiTheme="majorHAnsi" w:hAnsiTheme="majorHAnsi" w:cstheme="majorHAnsi"/>
                <w:color w:val="000000"/>
              </w:rPr>
              <w:t xml:space="preserve">Ensuring </w:t>
            </w:r>
            <w:r w:rsidR="00623284">
              <w:rPr>
                <w:rFonts w:asciiTheme="majorHAnsi" w:hAnsiTheme="majorHAnsi" w:cstheme="majorHAnsi"/>
                <w:color w:val="000000"/>
              </w:rPr>
              <w:t>the information in the Toolkit compl</w:t>
            </w:r>
            <w:r w:rsidR="00FF3A21">
              <w:rPr>
                <w:rFonts w:asciiTheme="majorHAnsi" w:hAnsiTheme="majorHAnsi" w:cstheme="majorHAnsi"/>
                <w:color w:val="000000"/>
              </w:rPr>
              <w:t>e</w:t>
            </w:r>
            <w:r w:rsidR="00623284">
              <w:rPr>
                <w:rFonts w:asciiTheme="majorHAnsi" w:hAnsiTheme="majorHAnsi" w:cstheme="majorHAnsi"/>
                <w:color w:val="000000"/>
              </w:rPr>
              <w:t>ments the CIfA public benefit webpages in development to avoid duplication of information</w:t>
            </w:r>
          </w:p>
          <w:p w14:paraId="2A9AB3F1" w14:textId="2EA59D71" w:rsidR="008E7A2E" w:rsidRPr="008155B6" w:rsidRDefault="008E7A2E" w:rsidP="001523F0">
            <w:pPr>
              <w:pStyle w:val="ListParagraph"/>
              <w:numPr>
                <w:ilvl w:val="0"/>
                <w:numId w:val="25"/>
              </w:numPr>
              <w:autoSpaceDE w:val="0"/>
              <w:autoSpaceDN w:val="0"/>
              <w:adjustRightInd w:val="0"/>
              <w:ind w:left="354" w:hanging="283"/>
              <w:rPr>
                <w:rFonts w:asciiTheme="majorHAnsi" w:hAnsiTheme="majorHAnsi" w:cstheme="majorHAnsi"/>
                <w:color w:val="000000"/>
              </w:rPr>
            </w:pPr>
            <w:r w:rsidRPr="008155B6">
              <w:rPr>
                <w:rFonts w:asciiTheme="majorHAnsi" w:hAnsiTheme="majorHAnsi" w:cstheme="majorHAnsi"/>
                <w:color w:val="000000"/>
              </w:rPr>
              <w:t>Ensuring the Toolkit sections and sub-sections are relevant to practice across the UK</w:t>
            </w:r>
          </w:p>
          <w:p w14:paraId="5F67710A" w14:textId="133601B5" w:rsidR="001523F0" w:rsidRDefault="00B1299A" w:rsidP="001523F0">
            <w:pPr>
              <w:pStyle w:val="ListParagraph"/>
              <w:numPr>
                <w:ilvl w:val="0"/>
                <w:numId w:val="25"/>
              </w:numPr>
              <w:autoSpaceDE w:val="0"/>
              <w:autoSpaceDN w:val="0"/>
              <w:adjustRightInd w:val="0"/>
              <w:ind w:left="354" w:hanging="283"/>
              <w:rPr>
                <w:rFonts w:asciiTheme="majorHAnsi" w:hAnsiTheme="majorHAnsi" w:cstheme="majorHAnsi"/>
                <w:color w:val="000000"/>
              </w:rPr>
            </w:pPr>
            <w:r w:rsidRPr="001523F0">
              <w:rPr>
                <w:rFonts w:asciiTheme="majorHAnsi" w:hAnsiTheme="majorHAnsi" w:cstheme="majorHAnsi"/>
                <w:color w:val="000000"/>
              </w:rPr>
              <w:t xml:space="preserve">Feedback from the </w:t>
            </w:r>
            <w:r w:rsidR="000634CE">
              <w:rPr>
                <w:rFonts w:asciiTheme="majorHAnsi" w:hAnsiTheme="majorHAnsi" w:cstheme="majorHAnsi"/>
                <w:color w:val="000000"/>
              </w:rPr>
              <w:t>project</w:t>
            </w:r>
            <w:r w:rsidRPr="001523F0">
              <w:rPr>
                <w:rFonts w:asciiTheme="majorHAnsi" w:hAnsiTheme="majorHAnsi" w:cstheme="majorHAnsi"/>
                <w:color w:val="000000"/>
              </w:rPr>
              <w:t xml:space="preserve"> </w:t>
            </w:r>
            <w:r w:rsidR="00C92B3E" w:rsidRPr="001523F0">
              <w:rPr>
                <w:rFonts w:asciiTheme="majorHAnsi" w:hAnsiTheme="majorHAnsi" w:cstheme="majorHAnsi"/>
                <w:color w:val="000000"/>
              </w:rPr>
              <w:t>board</w:t>
            </w:r>
          </w:p>
          <w:p w14:paraId="7F792BD2" w14:textId="72311109" w:rsidR="00B1299A" w:rsidRPr="001523F0" w:rsidRDefault="00B1299A" w:rsidP="001523F0">
            <w:pPr>
              <w:pStyle w:val="ListParagraph"/>
              <w:numPr>
                <w:ilvl w:val="0"/>
                <w:numId w:val="25"/>
              </w:numPr>
              <w:autoSpaceDE w:val="0"/>
              <w:autoSpaceDN w:val="0"/>
              <w:adjustRightInd w:val="0"/>
              <w:ind w:left="354" w:hanging="283"/>
              <w:rPr>
                <w:rFonts w:asciiTheme="majorHAnsi" w:hAnsiTheme="majorHAnsi" w:cstheme="majorHAnsi"/>
                <w:color w:val="000000"/>
              </w:rPr>
            </w:pPr>
            <w:r w:rsidRPr="001523F0">
              <w:rPr>
                <w:rFonts w:asciiTheme="majorHAnsi" w:hAnsiTheme="majorHAnsi" w:cstheme="majorHAnsi"/>
                <w:color w:val="000000"/>
              </w:rPr>
              <w:t>Revise Toolkit draft</w:t>
            </w:r>
          </w:p>
        </w:tc>
      </w:tr>
      <w:tr w:rsidR="00B1299A" w:rsidRPr="00E7609D" w14:paraId="51A3B3DC" w14:textId="77777777" w:rsidTr="00B1299A">
        <w:tc>
          <w:tcPr>
            <w:tcW w:w="1383" w:type="dxa"/>
          </w:tcPr>
          <w:p w14:paraId="34BC85BA" w14:textId="77777777" w:rsidR="00B1299A" w:rsidRPr="00E7609D" w:rsidRDefault="00B1299A" w:rsidP="00B1299A">
            <w:pPr>
              <w:ind w:left="35"/>
              <w:rPr>
                <w:rFonts w:asciiTheme="majorHAnsi" w:hAnsiTheme="majorHAnsi" w:cstheme="majorHAnsi"/>
              </w:rPr>
            </w:pPr>
            <w:r w:rsidRPr="00E7609D">
              <w:rPr>
                <w:rFonts w:asciiTheme="majorHAnsi" w:hAnsiTheme="majorHAnsi" w:cstheme="majorHAnsi"/>
              </w:rPr>
              <w:t xml:space="preserve"> Outputs</w:t>
            </w:r>
          </w:p>
        </w:tc>
        <w:tc>
          <w:tcPr>
            <w:tcW w:w="7259" w:type="dxa"/>
          </w:tcPr>
          <w:p w14:paraId="6587BC06" w14:textId="77777777" w:rsidR="00B1299A" w:rsidRPr="00B40989" w:rsidRDefault="00B1299A" w:rsidP="00C92B3E">
            <w:pPr>
              <w:pStyle w:val="ListParagraph"/>
              <w:numPr>
                <w:ilvl w:val="0"/>
                <w:numId w:val="23"/>
              </w:numPr>
              <w:spacing w:after="120"/>
              <w:ind w:left="351" w:right="78" w:hanging="283"/>
              <w:jc w:val="both"/>
              <w:rPr>
                <w:rFonts w:asciiTheme="majorHAnsi" w:hAnsiTheme="majorHAnsi" w:cstheme="majorHAnsi"/>
              </w:rPr>
            </w:pPr>
            <w:r w:rsidRPr="00E7609D">
              <w:rPr>
                <w:rFonts w:asciiTheme="majorHAnsi" w:hAnsiTheme="majorHAnsi" w:cstheme="majorHAnsi"/>
              </w:rPr>
              <w:t xml:space="preserve">Full draft of </w:t>
            </w:r>
            <w:r w:rsidRPr="00E7609D">
              <w:rPr>
                <w:rFonts w:asciiTheme="majorHAnsi" w:hAnsiTheme="majorHAnsi" w:cstheme="majorHAnsi"/>
                <w:i/>
                <w:iCs/>
              </w:rPr>
              <w:t>Toolkit for</w:t>
            </w:r>
            <w:r w:rsidR="00C92B3E">
              <w:rPr>
                <w:rFonts w:asciiTheme="majorHAnsi" w:hAnsiTheme="majorHAnsi" w:cstheme="majorHAnsi"/>
                <w:i/>
                <w:iCs/>
              </w:rPr>
              <w:t xml:space="preserve"> </w:t>
            </w:r>
            <w:r w:rsidR="00C92B3E" w:rsidRPr="00C92B3E">
              <w:rPr>
                <w:rFonts w:asciiTheme="majorHAnsi" w:hAnsiTheme="majorHAnsi" w:cstheme="majorHAnsi"/>
                <w:i/>
                <w:iCs/>
              </w:rPr>
              <w:t>the promotion and delivery of community engagement in archaeology</w:t>
            </w:r>
          </w:p>
          <w:p w14:paraId="54CCD8BD" w14:textId="2CC12E74" w:rsidR="00A77DF5" w:rsidRPr="00C92B3E" w:rsidRDefault="00A77DF5" w:rsidP="00C92B3E">
            <w:pPr>
              <w:pStyle w:val="ListParagraph"/>
              <w:numPr>
                <w:ilvl w:val="0"/>
                <w:numId w:val="23"/>
              </w:numPr>
              <w:spacing w:after="120"/>
              <w:ind w:left="351" w:right="78" w:hanging="283"/>
              <w:jc w:val="both"/>
              <w:rPr>
                <w:rFonts w:asciiTheme="majorHAnsi" w:hAnsiTheme="majorHAnsi" w:cstheme="majorHAnsi"/>
              </w:rPr>
            </w:pPr>
            <w:r>
              <w:rPr>
                <w:rFonts w:asciiTheme="majorHAnsi" w:hAnsiTheme="majorHAnsi" w:cstheme="majorHAnsi"/>
              </w:rPr>
              <w:t>The development of new case studies if a need for them is identified</w:t>
            </w:r>
          </w:p>
        </w:tc>
      </w:tr>
      <w:tr w:rsidR="00B1299A" w:rsidRPr="00E7609D" w14:paraId="49A600F6" w14:textId="77777777" w:rsidTr="00B1299A">
        <w:tc>
          <w:tcPr>
            <w:tcW w:w="8642" w:type="dxa"/>
            <w:gridSpan w:val="2"/>
            <w:shd w:val="clear" w:color="auto" w:fill="F2F2F2" w:themeFill="background1" w:themeFillShade="F2"/>
          </w:tcPr>
          <w:p w14:paraId="1037D9AA" w14:textId="289EE041" w:rsidR="00B1299A" w:rsidRPr="006406E1" w:rsidRDefault="00B1299A" w:rsidP="00B1299A">
            <w:pPr>
              <w:pStyle w:val="Heading2"/>
              <w:ind w:right="78"/>
              <w:outlineLvl w:val="1"/>
              <w:rPr>
                <w:rFonts w:asciiTheme="majorHAnsi" w:hAnsiTheme="majorHAnsi" w:cstheme="majorHAnsi"/>
                <w:b/>
                <w:bCs/>
                <w:sz w:val="22"/>
                <w:szCs w:val="22"/>
              </w:rPr>
            </w:pPr>
            <w:r w:rsidRPr="006406E1">
              <w:rPr>
                <w:rFonts w:asciiTheme="majorHAnsi" w:hAnsiTheme="majorHAnsi" w:cstheme="majorHAnsi"/>
                <w:b/>
                <w:bCs/>
                <w:sz w:val="22"/>
                <w:szCs w:val="22"/>
              </w:rPr>
              <w:t xml:space="preserve">Stage </w:t>
            </w:r>
            <w:proofErr w:type="gramStart"/>
            <w:r w:rsidRPr="006406E1">
              <w:rPr>
                <w:rFonts w:asciiTheme="majorHAnsi" w:hAnsiTheme="majorHAnsi" w:cstheme="majorHAnsi"/>
                <w:b/>
                <w:bCs/>
                <w:sz w:val="22"/>
                <w:szCs w:val="22"/>
              </w:rPr>
              <w:t xml:space="preserve">2 </w:t>
            </w:r>
            <w:r w:rsidRPr="006406E1">
              <w:rPr>
                <w:rFonts w:asciiTheme="majorHAnsi" w:eastAsiaTheme="minorHAnsi" w:hAnsiTheme="majorHAnsi" w:cstheme="majorHAnsi"/>
                <w:b/>
                <w:bCs/>
                <w:color w:val="000000"/>
                <w:sz w:val="22"/>
                <w:szCs w:val="22"/>
              </w:rPr>
              <w:t xml:space="preserve"> CONSULTATION</w:t>
            </w:r>
            <w:proofErr w:type="gramEnd"/>
            <w:r w:rsidR="00AA6ABF" w:rsidRPr="006406E1">
              <w:rPr>
                <w:rFonts w:asciiTheme="majorHAnsi" w:eastAsiaTheme="minorHAnsi" w:hAnsiTheme="majorHAnsi" w:cstheme="majorHAnsi"/>
                <w:b/>
                <w:bCs/>
                <w:color w:val="000000"/>
                <w:sz w:val="22"/>
                <w:szCs w:val="22"/>
              </w:rPr>
              <w:t xml:space="preserve"> (</w:t>
            </w:r>
            <w:r w:rsidR="002778A5">
              <w:rPr>
                <w:rFonts w:asciiTheme="majorHAnsi" w:eastAsiaTheme="minorHAnsi" w:hAnsiTheme="majorHAnsi" w:cstheme="majorHAnsi"/>
                <w:b/>
                <w:bCs/>
                <w:color w:val="000000"/>
                <w:sz w:val="22"/>
                <w:szCs w:val="22"/>
              </w:rPr>
              <w:t xml:space="preserve">August </w:t>
            </w:r>
            <w:r w:rsidR="006406E1" w:rsidRPr="006406E1">
              <w:rPr>
                <w:rFonts w:asciiTheme="majorHAnsi" w:eastAsiaTheme="minorHAnsi" w:hAnsiTheme="majorHAnsi" w:cstheme="majorHAnsi"/>
                <w:b/>
                <w:bCs/>
                <w:color w:val="000000"/>
                <w:sz w:val="22"/>
                <w:szCs w:val="22"/>
              </w:rPr>
              <w:t>–</w:t>
            </w:r>
            <w:r w:rsidR="000634CE" w:rsidRPr="006406E1">
              <w:rPr>
                <w:rFonts w:asciiTheme="majorHAnsi" w:eastAsiaTheme="minorHAnsi" w:hAnsiTheme="majorHAnsi" w:cstheme="majorHAnsi"/>
                <w:b/>
                <w:bCs/>
                <w:color w:val="000000"/>
                <w:sz w:val="22"/>
                <w:szCs w:val="22"/>
              </w:rPr>
              <w:t xml:space="preserve"> </w:t>
            </w:r>
            <w:r w:rsidR="00605AF7">
              <w:rPr>
                <w:rFonts w:asciiTheme="majorHAnsi" w:eastAsiaTheme="minorHAnsi" w:hAnsiTheme="majorHAnsi" w:cstheme="majorHAnsi"/>
                <w:b/>
                <w:bCs/>
                <w:color w:val="000000"/>
                <w:sz w:val="22"/>
                <w:szCs w:val="22"/>
              </w:rPr>
              <w:t>December</w:t>
            </w:r>
            <w:r w:rsidR="00605AF7" w:rsidRPr="006406E1">
              <w:rPr>
                <w:rFonts w:asciiTheme="majorHAnsi" w:eastAsiaTheme="minorHAnsi" w:hAnsiTheme="majorHAnsi" w:cstheme="majorHAnsi"/>
                <w:b/>
                <w:bCs/>
                <w:color w:val="000000"/>
                <w:sz w:val="22"/>
                <w:szCs w:val="22"/>
              </w:rPr>
              <w:t xml:space="preserve"> </w:t>
            </w:r>
            <w:r w:rsidR="006406E1" w:rsidRPr="006406E1">
              <w:rPr>
                <w:rFonts w:asciiTheme="majorHAnsi" w:eastAsiaTheme="minorHAnsi" w:hAnsiTheme="majorHAnsi" w:cstheme="majorHAnsi"/>
                <w:b/>
                <w:bCs/>
                <w:color w:val="000000"/>
                <w:sz w:val="22"/>
                <w:szCs w:val="22"/>
              </w:rPr>
              <w:t>2022)</w:t>
            </w:r>
            <w:r w:rsidR="002778A5">
              <w:rPr>
                <w:rFonts w:asciiTheme="majorHAnsi" w:eastAsiaTheme="minorHAnsi" w:hAnsiTheme="majorHAnsi" w:cstheme="majorHAnsi"/>
                <w:b/>
                <w:bCs/>
                <w:color w:val="000000"/>
                <w:sz w:val="22"/>
                <w:szCs w:val="22"/>
              </w:rPr>
              <w:t xml:space="preserve"> (Subject to change)</w:t>
            </w:r>
          </w:p>
        </w:tc>
      </w:tr>
      <w:tr w:rsidR="00B1299A" w:rsidRPr="00E7609D" w14:paraId="3A9A7494" w14:textId="77777777" w:rsidTr="00B1299A">
        <w:tc>
          <w:tcPr>
            <w:tcW w:w="1383" w:type="dxa"/>
            <w:tcBorders>
              <w:bottom w:val="single" w:sz="4" w:space="0" w:color="auto"/>
            </w:tcBorders>
          </w:tcPr>
          <w:p w14:paraId="007FABAC" w14:textId="77777777" w:rsidR="00B1299A" w:rsidRPr="00E7609D" w:rsidRDefault="00B1299A" w:rsidP="00B1299A">
            <w:pPr>
              <w:ind w:left="35"/>
              <w:rPr>
                <w:rFonts w:asciiTheme="majorHAnsi" w:hAnsiTheme="majorHAnsi" w:cstheme="majorHAnsi"/>
              </w:rPr>
            </w:pPr>
            <w:r w:rsidRPr="00E7609D">
              <w:rPr>
                <w:rFonts w:asciiTheme="majorHAnsi" w:hAnsiTheme="majorHAnsi" w:cstheme="majorHAnsi"/>
              </w:rPr>
              <w:t>Tasks</w:t>
            </w:r>
          </w:p>
        </w:tc>
        <w:tc>
          <w:tcPr>
            <w:tcW w:w="7259" w:type="dxa"/>
            <w:tcBorders>
              <w:bottom w:val="single" w:sz="4" w:space="0" w:color="auto"/>
            </w:tcBorders>
          </w:tcPr>
          <w:p w14:paraId="3BEEB190" w14:textId="673298DC" w:rsidR="001523F0" w:rsidRDefault="001523F0" w:rsidP="001519BA">
            <w:pPr>
              <w:pStyle w:val="ListParagraph"/>
              <w:numPr>
                <w:ilvl w:val="0"/>
                <w:numId w:val="26"/>
              </w:numPr>
              <w:autoSpaceDE w:val="0"/>
              <w:autoSpaceDN w:val="0"/>
              <w:adjustRightInd w:val="0"/>
              <w:spacing w:after="200" w:line="276" w:lineRule="auto"/>
              <w:rPr>
                <w:rFonts w:asciiTheme="majorHAnsi" w:hAnsiTheme="majorHAnsi" w:cstheme="majorHAnsi"/>
                <w:color w:val="000000"/>
              </w:rPr>
            </w:pPr>
            <w:r w:rsidRPr="001523F0">
              <w:rPr>
                <w:rFonts w:asciiTheme="majorHAnsi" w:hAnsiTheme="majorHAnsi" w:cstheme="majorHAnsi"/>
                <w:color w:val="000000"/>
              </w:rPr>
              <w:t>Consultation with the</w:t>
            </w:r>
            <w:r w:rsidR="007F29A6">
              <w:rPr>
                <w:rFonts w:asciiTheme="majorHAnsi" w:hAnsiTheme="majorHAnsi" w:cstheme="majorHAnsi"/>
                <w:color w:val="000000"/>
              </w:rPr>
              <w:t xml:space="preserve"> wider Historic Environment sector</w:t>
            </w:r>
            <w:r w:rsidR="007F29A6">
              <w:t xml:space="preserve"> </w:t>
            </w:r>
            <w:r w:rsidR="007F29A6" w:rsidRPr="007F29A6">
              <w:rPr>
                <w:rFonts w:asciiTheme="majorHAnsi" w:hAnsiTheme="majorHAnsi" w:cstheme="majorHAnsi"/>
                <w:color w:val="000000"/>
              </w:rPr>
              <w:t>on the scope and content of the suite of guidance</w:t>
            </w:r>
            <w:r w:rsidR="007F29A6">
              <w:rPr>
                <w:rFonts w:asciiTheme="majorHAnsi" w:hAnsiTheme="majorHAnsi" w:cstheme="majorHAnsi"/>
                <w:color w:val="000000"/>
              </w:rPr>
              <w:t>, including targeted consultation with those working specifically on</w:t>
            </w:r>
            <w:r w:rsidRPr="001523F0">
              <w:rPr>
                <w:rFonts w:asciiTheme="majorHAnsi" w:hAnsiTheme="majorHAnsi" w:cstheme="majorHAnsi"/>
                <w:color w:val="000000"/>
              </w:rPr>
              <w:t xml:space="preserve"> </w:t>
            </w:r>
            <w:r w:rsidRPr="00B40989">
              <w:rPr>
                <w:rFonts w:asciiTheme="majorHAnsi" w:hAnsiTheme="majorHAnsi" w:cstheme="majorHAnsi"/>
                <w:color w:val="000000"/>
              </w:rPr>
              <w:t>community</w:t>
            </w:r>
            <w:r w:rsidR="007F29A6" w:rsidRPr="00B40989">
              <w:rPr>
                <w:rFonts w:asciiTheme="majorHAnsi" w:hAnsiTheme="majorHAnsi" w:cstheme="majorHAnsi"/>
                <w:color w:val="000000"/>
              </w:rPr>
              <w:t xml:space="preserve"> engagement</w:t>
            </w:r>
            <w:r w:rsidRPr="00B40989">
              <w:rPr>
                <w:rFonts w:asciiTheme="majorHAnsi" w:hAnsiTheme="majorHAnsi" w:cstheme="majorHAnsi"/>
                <w:color w:val="000000"/>
              </w:rPr>
              <w:t xml:space="preserve"> </w:t>
            </w:r>
          </w:p>
          <w:p w14:paraId="4F1EAB58" w14:textId="77777777" w:rsidR="001523F0" w:rsidRPr="001523F0" w:rsidRDefault="001523F0" w:rsidP="001519BA">
            <w:pPr>
              <w:pStyle w:val="ListParagraph"/>
              <w:numPr>
                <w:ilvl w:val="0"/>
                <w:numId w:val="26"/>
              </w:numPr>
              <w:autoSpaceDE w:val="0"/>
              <w:autoSpaceDN w:val="0"/>
              <w:adjustRightInd w:val="0"/>
              <w:rPr>
                <w:rFonts w:asciiTheme="majorHAnsi" w:hAnsiTheme="majorHAnsi" w:cstheme="majorHAnsi"/>
                <w:color w:val="000000"/>
              </w:rPr>
            </w:pPr>
            <w:r w:rsidRPr="001523F0">
              <w:rPr>
                <w:rFonts w:asciiTheme="majorHAnsi" w:hAnsiTheme="majorHAnsi" w:cstheme="majorHAnsi"/>
                <w:color w:val="000000"/>
              </w:rPr>
              <w:t>Consultation with local authorities and contractors on the development of the guidance implementation plan</w:t>
            </w:r>
          </w:p>
          <w:p w14:paraId="2B040A05" w14:textId="5DFC15A1" w:rsidR="001523F0" w:rsidRDefault="001523F0" w:rsidP="001519BA">
            <w:pPr>
              <w:pStyle w:val="ListParagraph"/>
              <w:numPr>
                <w:ilvl w:val="0"/>
                <w:numId w:val="26"/>
              </w:numPr>
              <w:autoSpaceDE w:val="0"/>
              <w:autoSpaceDN w:val="0"/>
              <w:adjustRightInd w:val="0"/>
              <w:spacing w:after="120"/>
              <w:rPr>
                <w:rFonts w:asciiTheme="majorHAnsi" w:hAnsiTheme="majorHAnsi" w:cstheme="majorHAnsi"/>
                <w:color w:val="000000"/>
              </w:rPr>
            </w:pPr>
            <w:r>
              <w:rPr>
                <w:rFonts w:asciiTheme="majorHAnsi" w:hAnsiTheme="majorHAnsi" w:cstheme="majorHAnsi"/>
                <w:color w:val="000000"/>
              </w:rPr>
              <w:t>Consultation with CIfA Staff to identify required updates and signposting to the CIfA Standards and guidance</w:t>
            </w:r>
          </w:p>
          <w:p w14:paraId="3CE991D8" w14:textId="68A69070" w:rsidR="00B1299A" w:rsidRPr="00E7609D" w:rsidRDefault="00B1299A" w:rsidP="001519BA">
            <w:pPr>
              <w:pStyle w:val="ListParagraph"/>
              <w:numPr>
                <w:ilvl w:val="0"/>
                <w:numId w:val="26"/>
              </w:numPr>
              <w:autoSpaceDE w:val="0"/>
              <w:autoSpaceDN w:val="0"/>
              <w:adjustRightInd w:val="0"/>
              <w:spacing w:after="120"/>
              <w:rPr>
                <w:rFonts w:asciiTheme="majorHAnsi" w:hAnsiTheme="majorHAnsi" w:cstheme="majorHAnsi"/>
                <w:color w:val="000000"/>
              </w:rPr>
            </w:pPr>
            <w:r w:rsidRPr="00E7609D">
              <w:rPr>
                <w:rFonts w:asciiTheme="majorHAnsi" w:hAnsiTheme="majorHAnsi" w:cstheme="majorHAnsi"/>
                <w:color w:val="000000"/>
              </w:rPr>
              <w:t xml:space="preserve">Presentation at CIfA </w:t>
            </w:r>
            <w:r w:rsidR="001523F0">
              <w:rPr>
                <w:rFonts w:asciiTheme="majorHAnsi" w:hAnsiTheme="majorHAnsi" w:cstheme="majorHAnsi"/>
                <w:color w:val="000000"/>
              </w:rPr>
              <w:t>V&amp;C SIG meeting/</w:t>
            </w:r>
            <w:r w:rsidRPr="00E7609D">
              <w:rPr>
                <w:rFonts w:asciiTheme="majorHAnsi" w:hAnsiTheme="majorHAnsi" w:cstheme="majorHAnsi"/>
                <w:color w:val="000000"/>
              </w:rPr>
              <w:t>workshop</w:t>
            </w:r>
          </w:p>
          <w:p w14:paraId="209403E0" w14:textId="29DEB9A7" w:rsidR="00B1299A" w:rsidRPr="00E7609D" w:rsidRDefault="00B1299A" w:rsidP="001519BA">
            <w:pPr>
              <w:pStyle w:val="ListParagraph"/>
              <w:numPr>
                <w:ilvl w:val="0"/>
                <w:numId w:val="26"/>
              </w:numPr>
              <w:autoSpaceDE w:val="0"/>
              <w:autoSpaceDN w:val="0"/>
              <w:adjustRightInd w:val="0"/>
              <w:spacing w:after="120"/>
              <w:rPr>
                <w:rFonts w:asciiTheme="majorHAnsi" w:hAnsiTheme="majorHAnsi" w:cstheme="majorHAnsi"/>
                <w:color w:val="000000"/>
              </w:rPr>
            </w:pPr>
            <w:r w:rsidRPr="00E7609D">
              <w:rPr>
                <w:rFonts w:asciiTheme="majorHAnsi" w:hAnsiTheme="majorHAnsi" w:cstheme="majorHAnsi"/>
                <w:color w:val="000000"/>
              </w:rPr>
              <w:t>Issue notification of</w:t>
            </w:r>
            <w:r w:rsidR="00B778FF">
              <w:rPr>
                <w:rFonts w:asciiTheme="majorHAnsi" w:hAnsiTheme="majorHAnsi" w:cstheme="majorHAnsi"/>
                <w:color w:val="000000"/>
              </w:rPr>
              <w:t xml:space="preserve"> wider</w:t>
            </w:r>
            <w:r w:rsidRPr="00E7609D">
              <w:rPr>
                <w:rFonts w:asciiTheme="majorHAnsi" w:hAnsiTheme="majorHAnsi" w:cstheme="majorHAnsi"/>
                <w:color w:val="000000"/>
              </w:rPr>
              <w:t xml:space="preserve"> consultation period</w:t>
            </w:r>
          </w:p>
          <w:p w14:paraId="6965715A" w14:textId="6DFFF782" w:rsidR="00B1299A" w:rsidRPr="00E7609D" w:rsidRDefault="00B1299A" w:rsidP="001519BA">
            <w:pPr>
              <w:pStyle w:val="ListParagraph"/>
              <w:numPr>
                <w:ilvl w:val="0"/>
                <w:numId w:val="26"/>
              </w:numPr>
              <w:autoSpaceDE w:val="0"/>
              <w:autoSpaceDN w:val="0"/>
              <w:adjustRightInd w:val="0"/>
              <w:spacing w:after="120"/>
              <w:rPr>
                <w:rFonts w:asciiTheme="majorHAnsi" w:hAnsiTheme="majorHAnsi" w:cstheme="majorHAnsi"/>
                <w:color w:val="000000"/>
              </w:rPr>
            </w:pPr>
            <w:r w:rsidRPr="00E7609D">
              <w:rPr>
                <w:rFonts w:asciiTheme="majorHAnsi" w:hAnsiTheme="majorHAnsi" w:cstheme="majorHAnsi"/>
                <w:color w:val="000000"/>
              </w:rPr>
              <w:t xml:space="preserve">Circulate draft toolkit to the </w:t>
            </w:r>
            <w:r w:rsidR="00B778FF">
              <w:rPr>
                <w:rFonts w:asciiTheme="majorHAnsi" w:hAnsiTheme="majorHAnsi" w:cstheme="majorHAnsi"/>
                <w:color w:val="000000"/>
              </w:rPr>
              <w:t>a</w:t>
            </w:r>
            <w:r w:rsidRPr="00E7609D">
              <w:rPr>
                <w:rFonts w:asciiTheme="majorHAnsi" w:hAnsiTheme="majorHAnsi" w:cstheme="majorHAnsi"/>
                <w:color w:val="000000"/>
              </w:rPr>
              <w:t xml:space="preserve">dvisory </w:t>
            </w:r>
            <w:r w:rsidR="00B778FF">
              <w:rPr>
                <w:rFonts w:asciiTheme="majorHAnsi" w:hAnsiTheme="majorHAnsi" w:cstheme="majorHAnsi"/>
                <w:color w:val="000000"/>
              </w:rPr>
              <w:t>g</w:t>
            </w:r>
            <w:r w:rsidRPr="00E7609D">
              <w:rPr>
                <w:rFonts w:asciiTheme="majorHAnsi" w:hAnsiTheme="majorHAnsi" w:cstheme="majorHAnsi"/>
                <w:color w:val="000000"/>
              </w:rPr>
              <w:t>roup</w:t>
            </w:r>
          </w:p>
          <w:p w14:paraId="73BA86BF" w14:textId="7C5D0A1F" w:rsidR="00B1299A" w:rsidRPr="00E7609D" w:rsidRDefault="00B1299A" w:rsidP="001519BA">
            <w:pPr>
              <w:pStyle w:val="ListParagraph"/>
              <w:numPr>
                <w:ilvl w:val="0"/>
                <w:numId w:val="26"/>
              </w:numPr>
              <w:autoSpaceDE w:val="0"/>
              <w:autoSpaceDN w:val="0"/>
              <w:adjustRightInd w:val="0"/>
              <w:spacing w:after="120"/>
              <w:rPr>
                <w:rFonts w:asciiTheme="majorHAnsi" w:hAnsiTheme="majorHAnsi" w:cstheme="majorHAnsi"/>
                <w:color w:val="000000"/>
              </w:rPr>
            </w:pPr>
            <w:r w:rsidRPr="00E7609D">
              <w:rPr>
                <w:rFonts w:asciiTheme="majorHAnsi" w:hAnsiTheme="majorHAnsi" w:cstheme="majorHAnsi"/>
                <w:color w:val="000000"/>
              </w:rPr>
              <w:t xml:space="preserve">Circulate draft toolkit to </w:t>
            </w:r>
            <w:r w:rsidR="00B778FF">
              <w:rPr>
                <w:rFonts w:asciiTheme="majorHAnsi" w:hAnsiTheme="majorHAnsi" w:cstheme="majorHAnsi"/>
                <w:color w:val="000000"/>
              </w:rPr>
              <w:t xml:space="preserve">V&amp;C </w:t>
            </w:r>
            <w:r w:rsidRPr="00E7609D">
              <w:rPr>
                <w:rFonts w:asciiTheme="majorHAnsi" w:hAnsiTheme="majorHAnsi" w:cstheme="majorHAnsi"/>
                <w:color w:val="000000"/>
              </w:rPr>
              <w:t>SIG members</w:t>
            </w:r>
            <w:r w:rsidR="002530F9">
              <w:rPr>
                <w:rFonts w:asciiTheme="majorHAnsi" w:hAnsiTheme="majorHAnsi" w:cstheme="majorHAnsi"/>
                <w:color w:val="000000"/>
              </w:rPr>
              <w:t xml:space="preserve"> and other stakeholders (ALGAO</w:t>
            </w:r>
            <w:r w:rsidR="00AA11F1">
              <w:rPr>
                <w:rFonts w:asciiTheme="majorHAnsi" w:hAnsiTheme="majorHAnsi" w:cstheme="majorHAnsi"/>
                <w:color w:val="000000"/>
              </w:rPr>
              <w:t>, CBA, FAME etc)</w:t>
            </w:r>
          </w:p>
          <w:p w14:paraId="3426410E" w14:textId="47FAFADC" w:rsidR="00B1299A" w:rsidRPr="00AA11F1" w:rsidRDefault="00B1299A" w:rsidP="001519BA">
            <w:pPr>
              <w:pStyle w:val="ListParagraph"/>
              <w:numPr>
                <w:ilvl w:val="0"/>
                <w:numId w:val="26"/>
              </w:numPr>
              <w:autoSpaceDE w:val="0"/>
              <w:autoSpaceDN w:val="0"/>
              <w:adjustRightInd w:val="0"/>
              <w:spacing w:after="120"/>
              <w:rPr>
                <w:rFonts w:asciiTheme="majorHAnsi" w:hAnsiTheme="majorHAnsi" w:cstheme="majorHAnsi"/>
                <w:color w:val="000000"/>
              </w:rPr>
            </w:pPr>
            <w:r w:rsidRPr="00E7609D">
              <w:rPr>
                <w:rFonts w:asciiTheme="majorHAnsi" w:hAnsiTheme="majorHAnsi" w:cstheme="majorHAnsi"/>
                <w:color w:val="000000"/>
              </w:rPr>
              <w:t>Table at CIfA Advisory Council meeting, for early feedback</w:t>
            </w:r>
          </w:p>
        </w:tc>
      </w:tr>
      <w:tr w:rsidR="00B1299A" w:rsidRPr="00E7609D" w14:paraId="666DDA90" w14:textId="77777777" w:rsidTr="00B1299A">
        <w:tc>
          <w:tcPr>
            <w:tcW w:w="1383" w:type="dxa"/>
            <w:tcBorders>
              <w:bottom w:val="single" w:sz="4" w:space="0" w:color="auto"/>
            </w:tcBorders>
          </w:tcPr>
          <w:p w14:paraId="527717F9" w14:textId="77777777" w:rsidR="00B1299A" w:rsidRPr="00E7609D" w:rsidRDefault="00B1299A" w:rsidP="00B1299A">
            <w:pPr>
              <w:ind w:left="35"/>
              <w:rPr>
                <w:rFonts w:asciiTheme="majorHAnsi" w:hAnsiTheme="majorHAnsi" w:cstheme="majorHAnsi"/>
              </w:rPr>
            </w:pPr>
            <w:r w:rsidRPr="00E7609D">
              <w:rPr>
                <w:rFonts w:asciiTheme="majorHAnsi" w:hAnsiTheme="majorHAnsi" w:cstheme="majorHAnsi"/>
              </w:rPr>
              <w:t>Outcomes</w:t>
            </w:r>
          </w:p>
        </w:tc>
        <w:tc>
          <w:tcPr>
            <w:tcW w:w="7259" w:type="dxa"/>
            <w:tcBorders>
              <w:bottom w:val="single" w:sz="4" w:space="0" w:color="auto"/>
            </w:tcBorders>
          </w:tcPr>
          <w:p w14:paraId="3DDF8CDD" w14:textId="5322FEF7" w:rsidR="00B1299A" w:rsidRPr="00E7609D" w:rsidRDefault="00B1299A" w:rsidP="00B1299A">
            <w:pPr>
              <w:pStyle w:val="ListParagraph"/>
              <w:numPr>
                <w:ilvl w:val="0"/>
                <w:numId w:val="23"/>
              </w:numPr>
              <w:spacing w:after="120"/>
              <w:ind w:left="351" w:right="78" w:hanging="283"/>
              <w:jc w:val="both"/>
              <w:rPr>
                <w:rFonts w:asciiTheme="majorHAnsi" w:hAnsiTheme="majorHAnsi" w:cstheme="majorHAnsi"/>
              </w:rPr>
            </w:pPr>
            <w:r w:rsidRPr="00E7609D">
              <w:rPr>
                <w:rFonts w:asciiTheme="majorHAnsi" w:hAnsiTheme="majorHAnsi" w:cstheme="majorHAnsi"/>
              </w:rPr>
              <w:t xml:space="preserve">Circulation of draft </w:t>
            </w:r>
            <w:r w:rsidRPr="00E7609D">
              <w:rPr>
                <w:rFonts w:asciiTheme="majorHAnsi" w:hAnsiTheme="majorHAnsi" w:cstheme="majorHAnsi"/>
                <w:i/>
                <w:iCs/>
              </w:rPr>
              <w:t>Toolkit</w:t>
            </w:r>
            <w:r w:rsidR="00AA11F1" w:rsidRPr="00E7609D">
              <w:rPr>
                <w:rFonts w:asciiTheme="majorHAnsi" w:hAnsiTheme="majorHAnsi" w:cstheme="majorHAnsi"/>
                <w:i/>
                <w:iCs/>
              </w:rPr>
              <w:t xml:space="preserve"> for</w:t>
            </w:r>
            <w:r w:rsidR="00AA11F1">
              <w:rPr>
                <w:rFonts w:asciiTheme="majorHAnsi" w:hAnsiTheme="majorHAnsi" w:cstheme="majorHAnsi"/>
                <w:i/>
                <w:iCs/>
              </w:rPr>
              <w:t xml:space="preserve"> </w:t>
            </w:r>
            <w:r w:rsidR="00AA11F1" w:rsidRPr="00C92B3E">
              <w:rPr>
                <w:rFonts w:asciiTheme="majorHAnsi" w:hAnsiTheme="majorHAnsi" w:cstheme="majorHAnsi"/>
                <w:i/>
                <w:iCs/>
              </w:rPr>
              <w:t>the promotion and delivery of community engagement in archaeology</w:t>
            </w:r>
            <w:r w:rsidR="00AA11F1" w:rsidRPr="00E7609D">
              <w:rPr>
                <w:rFonts w:asciiTheme="majorHAnsi" w:hAnsiTheme="majorHAnsi" w:cstheme="majorHAnsi"/>
              </w:rPr>
              <w:t xml:space="preserve"> </w:t>
            </w:r>
            <w:r w:rsidRPr="00E7609D">
              <w:rPr>
                <w:rFonts w:asciiTheme="majorHAnsi" w:hAnsiTheme="majorHAnsi" w:cstheme="majorHAnsi"/>
              </w:rPr>
              <w:t>to stakeholders, ensuring sector-wide input</w:t>
            </w:r>
          </w:p>
          <w:p w14:paraId="442BD938" w14:textId="4A0BDAD5" w:rsidR="00B1299A" w:rsidRPr="00E7609D" w:rsidRDefault="00B1299A" w:rsidP="00B1299A">
            <w:pPr>
              <w:pStyle w:val="ListParagraph"/>
              <w:numPr>
                <w:ilvl w:val="0"/>
                <w:numId w:val="23"/>
              </w:numPr>
              <w:spacing w:after="120"/>
              <w:ind w:left="351" w:right="78" w:hanging="283"/>
              <w:jc w:val="both"/>
              <w:rPr>
                <w:rFonts w:asciiTheme="majorHAnsi" w:hAnsiTheme="majorHAnsi" w:cstheme="majorHAnsi"/>
              </w:rPr>
            </w:pPr>
            <w:r w:rsidRPr="00E7609D">
              <w:rPr>
                <w:rFonts w:asciiTheme="majorHAnsi" w:hAnsiTheme="majorHAnsi" w:cstheme="majorHAnsi"/>
              </w:rPr>
              <w:t xml:space="preserve">Feedback with which the </w:t>
            </w:r>
            <w:r w:rsidRPr="00E7609D">
              <w:rPr>
                <w:rFonts w:asciiTheme="majorHAnsi" w:hAnsiTheme="majorHAnsi" w:cstheme="majorHAnsi"/>
                <w:i/>
                <w:iCs/>
              </w:rPr>
              <w:t>Toolkit for</w:t>
            </w:r>
            <w:r w:rsidR="00AA11F1" w:rsidRPr="00AA11F1">
              <w:rPr>
                <w:rFonts w:asciiTheme="majorHAnsi" w:hAnsiTheme="majorHAnsi" w:cstheme="majorHAnsi"/>
                <w:i/>
                <w:iCs/>
              </w:rPr>
              <w:t xml:space="preserve"> the promotion and delivery of community engagement in archaeology </w:t>
            </w:r>
            <w:r w:rsidRPr="00E7609D">
              <w:rPr>
                <w:rFonts w:asciiTheme="majorHAnsi" w:hAnsiTheme="majorHAnsi" w:cstheme="majorHAnsi"/>
              </w:rPr>
              <w:t>can be revised</w:t>
            </w:r>
          </w:p>
          <w:p w14:paraId="61391880" w14:textId="6B0EE7D1" w:rsidR="00B1299A" w:rsidRPr="00E7609D" w:rsidRDefault="00935224" w:rsidP="00B1299A">
            <w:pPr>
              <w:pStyle w:val="ListParagraph"/>
              <w:numPr>
                <w:ilvl w:val="0"/>
                <w:numId w:val="23"/>
              </w:numPr>
              <w:spacing w:after="120"/>
              <w:ind w:left="351" w:right="78" w:hanging="283"/>
              <w:jc w:val="both"/>
              <w:rPr>
                <w:rFonts w:asciiTheme="majorHAnsi" w:hAnsiTheme="majorHAnsi" w:cstheme="majorHAnsi"/>
              </w:rPr>
            </w:pPr>
            <w:r>
              <w:rPr>
                <w:rFonts w:asciiTheme="majorHAnsi" w:hAnsiTheme="majorHAnsi" w:cstheme="majorHAnsi"/>
              </w:rPr>
              <w:t>Identified sections of the Standards and guidance requiring update</w:t>
            </w:r>
          </w:p>
        </w:tc>
      </w:tr>
      <w:tr w:rsidR="00B1299A" w:rsidRPr="00E7609D" w14:paraId="412E91EA" w14:textId="77777777" w:rsidTr="00B1299A">
        <w:tc>
          <w:tcPr>
            <w:tcW w:w="8642" w:type="dxa"/>
            <w:gridSpan w:val="2"/>
            <w:shd w:val="clear" w:color="auto" w:fill="F2F2F2" w:themeFill="background1" w:themeFillShade="F2"/>
          </w:tcPr>
          <w:p w14:paraId="1F66AE04" w14:textId="410774AC" w:rsidR="00B1299A" w:rsidRPr="006406E1" w:rsidRDefault="00B1299A" w:rsidP="00B1299A">
            <w:pPr>
              <w:pStyle w:val="Heading2"/>
              <w:ind w:right="78"/>
              <w:outlineLvl w:val="1"/>
              <w:rPr>
                <w:rFonts w:asciiTheme="majorHAnsi" w:hAnsiTheme="majorHAnsi" w:cstheme="majorHAnsi"/>
                <w:b/>
                <w:bCs/>
                <w:sz w:val="22"/>
                <w:szCs w:val="22"/>
              </w:rPr>
            </w:pPr>
            <w:r w:rsidRPr="006406E1">
              <w:rPr>
                <w:rFonts w:asciiTheme="majorHAnsi" w:hAnsiTheme="majorHAnsi" w:cstheme="majorHAnsi"/>
                <w:b/>
                <w:bCs/>
                <w:sz w:val="22"/>
                <w:szCs w:val="22"/>
              </w:rPr>
              <w:t xml:space="preserve">Stage </w:t>
            </w:r>
            <w:proofErr w:type="gramStart"/>
            <w:r w:rsidRPr="006406E1">
              <w:rPr>
                <w:rFonts w:asciiTheme="majorHAnsi" w:hAnsiTheme="majorHAnsi" w:cstheme="majorHAnsi"/>
                <w:b/>
                <w:bCs/>
                <w:sz w:val="22"/>
                <w:szCs w:val="22"/>
              </w:rPr>
              <w:t xml:space="preserve">3 </w:t>
            </w:r>
            <w:r w:rsidRPr="006406E1">
              <w:rPr>
                <w:rFonts w:asciiTheme="majorHAnsi" w:eastAsiaTheme="minorHAnsi" w:hAnsiTheme="majorHAnsi" w:cstheme="majorHAnsi"/>
                <w:b/>
                <w:bCs/>
                <w:color w:val="000000"/>
                <w:sz w:val="22"/>
                <w:szCs w:val="22"/>
              </w:rPr>
              <w:t xml:space="preserve"> PUBLICATION</w:t>
            </w:r>
            <w:proofErr w:type="gramEnd"/>
            <w:r w:rsidRPr="006406E1">
              <w:rPr>
                <w:rFonts w:asciiTheme="majorHAnsi" w:eastAsiaTheme="minorHAnsi" w:hAnsiTheme="majorHAnsi" w:cstheme="majorHAnsi"/>
                <w:b/>
                <w:bCs/>
                <w:color w:val="000000"/>
                <w:sz w:val="22"/>
                <w:szCs w:val="22"/>
              </w:rPr>
              <w:t xml:space="preserve"> AND PROMOTION</w:t>
            </w:r>
            <w:r w:rsidR="006406E1" w:rsidRPr="006406E1">
              <w:rPr>
                <w:rFonts w:asciiTheme="majorHAnsi" w:eastAsiaTheme="minorHAnsi" w:hAnsiTheme="majorHAnsi" w:cstheme="majorHAnsi"/>
                <w:b/>
                <w:bCs/>
                <w:color w:val="000000"/>
                <w:sz w:val="22"/>
                <w:szCs w:val="22"/>
              </w:rPr>
              <w:t xml:space="preserve"> (</w:t>
            </w:r>
            <w:r w:rsidR="00605AF7">
              <w:rPr>
                <w:rFonts w:asciiTheme="majorHAnsi" w:eastAsiaTheme="minorHAnsi" w:hAnsiTheme="majorHAnsi" w:cstheme="majorHAnsi"/>
                <w:b/>
                <w:bCs/>
                <w:color w:val="000000"/>
                <w:sz w:val="22"/>
                <w:szCs w:val="22"/>
              </w:rPr>
              <w:t>January</w:t>
            </w:r>
            <w:r w:rsidR="00605AF7" w:rsidRPr="006406E1">
              <w:rPr>
                <w:rFonts w:asciiTheme="majorHAnsi" w:eastAsiaTheme="minorHAnsi" w:hAnsiTheme="majorHAnsi" w:cstheme="majorHAnsi"/>
                <w:b/>
                <w:bCs/>
                <w:color w:val="000000"/>
                <w:sz w:val="22"/>
                <w:szCs w:val="22"/>
              </w:rPr>
              <w:t xml:space="preserve"> </w:t>
            </w:r>
            <w:r w:rsidR="006406E1" w:rsidRPr="006406E1">
              <w:rPr>
                <w:rFonts w:asciiTheme="majorHAnsi" w:eastAsiaTheme="minorHAnsi" w:hAnsiTheme="majorHAnsi" w:cstheme="majorHAnsi"/>
                <w:b/>
                <w:bCs/>
                <w:color w:val="000000"/>
                <w:sz w:val="22"/>
                <w:szCs w:val="22"/>
              </w:rPr>
              <w:t xml:space="preserve">– </w:t>
            </w:r>
            <w:r w:rsidR="00251AD9">
              <w:rPr>
                <w:rFonts w:asciiTheme="majorHAnsi" w:eastAsiaTheme="minorHAnsi" w:hAnsiTheme="majorHAnsi" w:cstheme="majorHAnsi"/>
                <w:b/>
                <w:bCs/>
                <w:color w:val="000000"/>
                <w:sz w:val="22"/>
                <w:szCs w:val="22"/>
              </w:rPr>
              <w:t>April</w:t>
            </w:r>
            <w:r w:rsidR="00605AF7" w:rsidRPr="006406E1">
              <w:rPr>
                <w:rFonts w:asciiTheme="majorHAnsi" w:eastAsiaTheme="minorHAnsi" w:hAnsiTheme="majorHAnsi" w:cstheme="majorHAnsi"/>
                <w:b/>
                <w:bCs/>
                <w:color w:val="000000"/>
                <w:sz w:val="22"/>
                <w:szCs w:val="22"/>
              </w:rPr>
              <w:t xml:space="preserve"> </w:t>
            </w:r>
            <w:r w:rsidR="006406E1" w:rsidRPr="006406E1">
              <w:rPr>
                <w:rFonts w:asciiTheme="majorHAnsi" w:eastAsiaTheme="minorHAnsi" w:hAnsiTheme="majorHAnsi" w:cstheme="majorHAnsi"/>
                <w:b/>
                <w:bCs/>
                <w:color w:val="000000"/>
                <w:sz w:val="22"/>
                <w:szCs w:val="22"/>
              </w:rPr>
              <w:t>202</w:t>
            </w:r>
            <w:r w:rsidR="00251AD9">
              <w:rPr>
                <w:rFonts w:asciiTheme="majorHAnsi" w:eastAsiaTheme="minorHAnsi" w:hAnsiTheme="majorHAnsi" w:cstheme="majorHAnsi"/>
                <w:b/>
                <w:bCs/>
                <w:color w:val="000000"/>
                <w:sz w:val="22"/>
                <w:szCs w:val="22"/>
              </w:rPr>
              <w:t>3</w:t>
            </w:r>
            <w:r w:rsidR="006406E1" w:rsidRPr="006406E1">
              <w:rPr>
                <w:rFonts w:asciiTheme="majorHAnsi" w:eastAsiaTheme="minorHAnsi" w:hAnsiTheme="majorHAnsi" w:cstheme="majorHAnsi"/>
                <w:b/>
                <w:bCs/>
                <w:color w:val="000000"/>
                <w:sz w:val="22"/>
                <w:szCs w:val="22"/>
              </w:rPr>
              <w:t>)</w:t>
            </w:r>
            <w:r w:rsidR="002778A5">
              <w:rPr>
                <w:rFonts w:asciiTheme="majorHAnsi" w:eastAsiaTheme="minorHAnsi" w:hAnsiTheme="majorHAnsi" w:cstheme="majorHAnsi"/>
                <w:b/>
                <w:bCs/>
                <w:color w:val="000000"/>
                <w:sz w:val="22"/>
                <w:szCs w:val="22"/>
              </w:rPr>
              <w:t xml:space="preserve"> (Subject to change)</w:t>
            </w:r>
          </w:p>
        </w:tc>
      </w:tr>
      <w:tr w:rsidR="00B1299A" w:rsidRPr="00E7609D" w14:paraId="3E6C71AF" w14:textId="77777777" w:rsidTr="00B1299A">
        <w:tc>
          <w:tcPr>
            <w:tcW w:w="1383" w:type="dxa"/>
          </w:tcPr>
          <w:p w14:paraId="32A09C45" w14:textId="77777777" w:rsidR="00B1299A" w:rsidRPr="00E7609D" w:rsidRDefault="00B1299A" w:rsidP="00B1299A">
            <w:pPr>
              <w:ind w:left="35"/>
              <w:rPr>
                <w:rFonts w:asciiTheme="majorHAnsi" w:hAnsiTheme="majorHAnsi" w:cstheme="majorHAnsi"/>
              </w:rPr>
            </w:pPr>
            <w:r w:rsidRPr="00E7609D">
              <w:rPr>
                <w:rFonts w:asciiTheme="majorHAnsi" w:hAnsiTheme="majorHAnsi" w:cstheme="majorHAnsi"/>
              </w:rPr>
              <w:t>Tasks</w:t>
            </w:r>
          </w:p>
        </w:tc>
        <w:tc>
          <w:tcPr>
            <w:tcW w:w="7259" w:type="dxa"/>
          </w:tcPr>
          <w:p w14:paraId="5697C9DF" w14:textId="2693C35B" w:rsidR="00B1299A" w:rsidRDefault="00B1299A" w:rsidP="00B1299A">
            <w:pPr>
              <w:pStyle w:val="ListParagraph"/>
              <w:numPr>
                <w:ilvl w:val="0"/>
                <w:numId w:val="27"/>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t xml:space="preserve">Revise draft </w:t>
            </w:r>
            <w:r w:rsidR="00935224">
              <w:rPr>
                <w:rFonts w:asciiTheme="majorHAnsi" w:hAnsiTheme="majorHAnsi" w:cstheme="majorHAnsi"/>
                <w:color w:val="000000"/>
              </w:rPr>
              <w:t>T</w:t>
            </w:r>
            <w:r w:rsidRPr="00E7609D">
              <w:rPr>
                <w:rFonts w:asciiTheme="majorHAnsi" w:hAnsiTheme="majorHAnsi" w:cstheme="majorHAnsi"/>
                <w:color w:val="000000"/>
              </w:rPr>
              <w:t>oolkit based on consultation feedback</w:t>
            </w:r>
          </w:p>
          <w:p w14:paraId="0DBA4A3C" w14:textId="34FDDC9B" w:rsidR="00896D09" w:rsidRPr="00E7609D" w:rsidRDefault="00896D09" w:rsidP="00B1299A">
            <w:pPr>
              <w:pStyle w:val="ListParagraph"/>
              <w:numPr>
                <w:ilvl w:val="0"/>
                <w:numId w:val="27"/>
              </w:numPr>
              <w:autoSpaceDE w:val="0"/>
              <w:autoSpaceDN w:val="0"/>
              <w:adjustRightInd w:val="0"/>
              <w:spacing w:after="120"/>
              <w:ind w:left="354" w:hanging="283"/>
              <w:jc w:val="both"/>
              <w:rPr>
                <w:rFonts w:asciiTheme="majorHAnsi" w:hAnsiTheme="majorHAnsi" w:cstheme="majorHAnsi"/>
                <w:color w:val="000000"/>
              </w:rPr>
            </w:pPr>
            <w:r>
              <w:rPr>
                <w:rFonts w:asciiTheme="majorHAnsi" w:hAnsiTheme="majorHAnsi" w:cstheme="majorHAnsi"/>
                <w:color w:val="000000"/>
              </w:rPr>
              <w:t>Toolkit content copy edited to match CIfA house</w:t>
            </w:r>
            <w:r w:rsidR="00C52D7A">
              <w:rPr>
                <w:rFonts w:asciiTheme="majorHAnsi" w:hAnsiTheme="majorHAnsi" w:cstheme="majorHAnsi"/>
                <w:color w:val="000000"/>
              </w:rPr>
              <w:t xml:space="preserve"> </w:t>
            </w:r>
            <w:r>
              <w:rPr>
                <w:rFonts w:asciiTheme="majorHAnsi" w:hAnsiTheme="majorHAnsi" w:cstheme="majorHAnsi"/>
                <w:color w:val="000000"/>
              </w:rPr>
              <w:t>style</w:t>
            </w:r>
          </w:p>
          <w:p w14:paraId="182862CE" w14:textId="7C0DE1F1" w:rsidR="00B1299A" w:rsidRPr="00E7609D" w:rsidRDefault="00B1299A" w:rsidP="00B1299A">
            <w:pPr>
              <w:pStyle w:val="ListParagraph"/>
              <w:numPr>
                <w:ilvl w:val="0"/>
                <w:numId w:val="27"/>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t xml:space="preserve">Submit final </w:t>
            </w:r>
            <w:r w:rsidRPr="00E7609D">
              <w:rPr>
                <w:rFonts w:asciiTheme="majorHAnsi" w:hAnsiTheme="majorHAnsi" w:cstheme="majorHAnsi"/>
                <w:i/>
                <w:iCs/>
              </w:rPr>
              <w:t>Toolkit</w:t>
            </w:r>
            <w:r w:rsidR="00935224">
              <w:t xml:space="preserve"> </w:t>
            </w:r>
            <w:r w:rsidR="00935224" w:rsidRPr="00935224">
              <w:rPr>
                <w:rFonts w:asciiTheme="majorHAnsi" w:hAnsiTheme="majorHAnsi" w:cstheme="majorHAnsi"/>
                <w:i/>
                <w:iCs/>
              </w:rPr>
              <w:t xml:space="preserve">for the promotion and delivery of community engagement in archaeology </w:t>
            </w:r>
            <w:r w:rsidRPr="00E7609D">
              <w:rPr>
                <w:rFonts w:asciiTheme="majorHAnsi" w:hAnsiTheme="majorHAnsi" w:cstheme="majorHAnsi"/>
                <w:color w:val="000000"/>
              </w:rPr>
              <w:t>to HE and CIfA for approval/ratification</w:t>
            </w:r>
          </w:p>
          <w:p w14:paraId="606336CD" w14:textId="67B00F6A" w:rsidR="00B1299A" w:rsidRPr="00E7609D" w:rsidRDefault="00B1299A" w:rsidP="00B1299A">
            <w:pPr>
              <w:pStyle w:val="ListParagraph"/>
              <w:numPr>
                <w:ilvl w:val="0"/>
                <w:numId w:val="27"/>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lastRenderedPageBreak/>
              <w:t xml:space="preserve">Advisory </w:t>
            </w:r>
            <w:r w:rsidR="00935224">
              <w:rPr>
                <w:rFonts w:asciiTheme="majorHAnsi" w:hAnsiTheme="majorHAnsi" w:cstheme="majorHAnsi"/>
                <w:color w:val="000000"/>
              </w:rPr>
              <w:t>board</w:t>
            </w:r>
            <w:r w:rsidRPr="00E7609D">
              <w:rPr>
                <w:rFonts w:asciiTheme="majorHAnsi" w:hAnsiTheme="majorHAnsi" w:cstheme="majorHAnsi"/>
                <w:color w:val="000000"/>
              </w:rPr>
              <w:t xml:space="preserve"> endorses the use and promotion of the</w:t>
            </w:r>
            <w:r w:rsidR="00935224">
              <w:rPr>
                <w:rFonts w:asciiTheme="majorHAnsi" w:hAnsiTheme="majorHAnsi" w:cstheme="majorHAnsi"/>
                <w:color w:val="000000"/>
              </w:rPr>
              <w:t xml:space="preserve"> </w:t>
            </w:r>
            <w:r w:rsidR="00935224" w:rsidRPr="00935224">
              <w:rPr>
                <w:rFonts w:asciiTheme="majorHAnsi" w:hAnsiTheme="majorHAnsi" w:cstheme="majorHAnsi"/>
                <w:i/>
                <w:iCs/>
                <w:color w:val="000000"/>
              </w:rPr>
              <w:t>Toolkit</w:t>
            </w:r>
            <w:r w:rsidR="00935224">
              <w:t xml:space="preserve"> </w:t>
            </w:r>
            <w:r w:rsidR="00935224" w:rsidRPr="00935224">
              <w:rPr>
                <w:rFonts w:asciiTheme="majorHAnsi" w:hAnsiTheme="majorHAnsi" w:cstheme="majorHAnsi"/>
                <w:i/>
                <w:iCs/>
              </w:rPr>
              <w:t xml:space="preserve">for the promotion and delivery of community engagement in </w:t>
            </w:r>
            <w:proofErr w:type="gramStart"/>
            <w:r w:rsidR="00935224" w:rsidRPr="00935224">
              <w:rPr>
                <w:rFonts w:asciiTheme="majorHAnsi" w:hAnsiTheme="majorHAnsi" w:cstheme="majorHAnsi"/>
                <w:i/>
                <w:iCs/>
              </w:rPr>
              <w:t xml:space="preserve">archaeology </w:t>
            </w:r>
            <w:r w:rsidRPr="00E7609D">
              <w:rPr>
                <w:rFonts w:asciiTheme="majorHAnsi" w:hAnsiTheme="majorHAnsi" w:cstheme="majorHAnsi"/>
                <w:color w:val="000000"/>
              </w:rPr>
              <w:t xml:space="preserve"> from</w:t>
            </w:r>
            <w:proofErr w:type="gramEnd"/>
            <w:r w:rsidRPr="00E7609D">
              <w:rPr>
                <w:rFonts w:asciiTheme="majorHAnsi" w:hAnsiTheme="majorHAnsi" w:cstheme="majorHAnsi"/>
                <w:color w:val="000000"/>
              </w:rPr>
              <w:t xml:space="preserve"> all relevant stakeholders including ALGAO</w:t>
            </w:r>
            <w:r w:rsidR="00935224">
              <w:rPr>
                <w:rFonts w:asciiTheme="majorHAnsi" w:hAnsiTheme="majorHAnsi" w:cstheme="majorHAnsi"/>
                <w:color w:val="000000"/>
              </w:rPr>
              <w:t>, CBA</w:t>
            </w:r>
            <w:r w:rsidRPr="00E7609D">
              <w:rPr>
                <w:rFonts w:asciiTheme="majorHAnsi" w:hAnsiTheme="majorHAnsi" w:cstheme="majorHAnsi"/>
                <w:color w:val="000000"/>
              </w:rPr>
              <w:t xml:space="preserve"> and FAME</w:t>
            </w:r>
            <w:r w:rsidR="00935224">
              <w:rPr>
                <w:rFonts w:asciiTheme="majorHAnsi" w:hAnsiTheme="majorHAnsi" w:cstheme="majorHAnsi"/>
                <w:color w:val="000000"/>
              </w:rPr>
              <w:t xml:space="preserve"> etc</w:t>
            </w:r>
          </w:p>
          <w:p w14:paraId="593A38A1" w14:textId="048415F5" w:rsidR="00B1299A" w:rsidRPr="00E7609D" w:rsidRDefault="00B1299A" w:rsidP="00B1299A">
            <w:pPr>
              <w:pStyle w:val="ListParagraph"/>
              <w:numPr>
                <w:ilvl w:val="0"/>
                <w:numId w:val="27"/>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t xml:space="preserve">Submit final </w:t>
            </w:r>
            <w:r w:rsidRPr="00E7609D">
              <w:rPr>
                <w:rFonts w:asciiTheme="majorHAnsi" w:hAnsiTheme="majorHAnsi" w:cstheme="majorHAnsi"/>
                <w:i/>
                <w:iCs/>
              </w:rPr>
              <w:t>Toolkit for</w:t>
            </w:r>
            <w:r w:rsidR="00935224">
              <w:rPr>
                <w:rFonts w:asciiTheme="majorHAnsi" w:hAnsiTheme="majorHAnsi" w:cstheme="majorHAnsi"/>
                <w:i/>
                <w:iCs/>
              </w:rPr>
              <w:t xml:space="preserve"> </w:t>
            </w:r>
            <w:r w:rsidR="00935224" w:rsidRPr="00935224">
              <w:rPr>
                <w:rFonts w:asciiTheme="majorHAnsi" w:hAnsiTheme="majorHAnsi" w:cstheme="majorHAnsi"/>
                <w:i/>
                <w:iCs/>
              </w:rPr>
              <w:t>the promotion and delivery of community engagement in archaeology</w:t>
            </w:r>
            <w:r w:rsidRPr="00E7609D">
              <w:rPr>
                <w:rFonts w:asciiTheme="majorHAnsi" w:hAnsiTheme="majorHAnsi" w:cstheme="majorHAnsi"/>
                <w:color w:val="000000"/>
              </w:rPr>
              <w:t xml:space="preserve">, graphics, </w:t>
            </w:r>
            <w:proofErr w:type="gramStart"/>
            <w:r w:rsidRPr="00E7609D">
              <w:rPr>
                <w:rFonts w:asciiTheme="majorHAnsi" w:hAnsiTheme="majorHAnsi" w:cstheme="majorHAnsi"/>
                <w:color w:val="000000"/>
              </w:rPr>
              <w:t>images</w:t>
            </w:r>
            <w:proofErr w:type="gramEnd"/>
            <w:r w:rsidRPr="00E7609D">
              <w:rPr>
                <w:rFonts w:asciiTheme="majorHAnsi" w:hAnsiTheme="majorHAnsi" w:cstheme="majorHAnsi"/>
                <w:color w:val="000000"/>
              </w:rPr>
              <w:t xml:space="preserve"> and content to web designer</w:t>
            </w:r>
          </w:p>
          <w:p w14:paraId="299B5062" w14:textId="1E8375FF" w:rsidR="00B1299A" w:rsidRPr="00E7609D" w:rsidRDefault="00B1299A" w:rsidP="00B1299A">
            <w:pPr>
              <w:pStyle w:val="ListParagraph"/>
              <w:numPr>
                <w:ilvl w:val="0"/>
                <w:numId w:val="27"/>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t xml:space="preserve">Publish </w:t>
            </w:r>
            <w:r w:rsidRPr="00E7609D">
              <w:rPr>
                <w:rFonts w:asciiTheme="majorHAnsi" w:hAnsiTheme="majorHAnsi" w:cstheme="majorHAnsi"/>
                <w:i/>
                <w:iCs/>
              </w:rPr>
              <w:t>Toolkit</w:t>
            </w:r>
            <w:r w:rsidR="00935224" w:rsidRPr="00E7609D">
              <w:rPr>
                <w:rFonts w:asciiTheme="majorHAnsi" w:hAnsiTheme="majorHAnsi" w:cstheme="majorHAnsi"/>
                <w:i/>
                <w:iCs/>
              </w:rPr>
              <w:t xml:space="preserve"> for</w:t>
            </w:r>
            <w:r w:rsidR="00935224">
              <w:rPr>
                <w:rFonts w:asciiTheme="majorHAnsi" w:hAnsiTheme="majorHAnsi" w:cstheme="majorHAnsi"/>
                <w:i/>
                <w:iCs/>
              </w:rPr>
              <w:t xml:space="preserve"> </w:t>
            </w:r>
            <w:r w:rsidR="00935224" w:rsidRPr="00C92B3E">
              <w:rPr>
                <w:rFonts w:asciiTheme="majorHAnsi" w:hAnsiTheme="majorHAnsi" w:cstheme="majorHAnsi"/>
                <w:i/>
                <w:iCs/>
              </w:rPr>
              <w:t>the promotion and delivery of community engagement in archaeology</w:t>
            </w:r>
            <w:r w:rsidR="00935224" w:rsidRPr="00E7609D">
              <w:rPr>
                <w:rFonts w:asciiTheme="majorHAnsi" w:hAnsiTheme="majorHAnsi" w:cstheme="majorHAnsi"/>
                <w:i/>
                <w:iCs/>
              </w:rPr>
              <w:t xml:space="preserve"> </w:t>
            </w:r>
            <w:r w:rsidRPr="00E7609D">
              <w:rPr>
                <w:rFonts w:asciiTheme="majorHAnsi" w:hAnsiTheme="majorHAnsi" w:cstheme="majorHAnsi"/>
                <w:color w:val="000000"/>
              </w:rPr>
              <w:t>on CIfA website</w:t>
            </w:r>
          </w:p>
          <w:p w14:paraId="4667758D" w14:textId="5B17C05F" w:rsidR="00B1299A" w:rsidRPr="00E7609D" w:rsidRDefault="00B1299A" w:rsidP="00B1299A">
            <w:pPr>
              <w:pStyle w:val="ListParagraph"/>
              <w:numPr>
                <w:ilvl w:val="0"/>
                <w:numId w:val="27"/>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t>Announce</w:t>
            </w:r>
            <w:r w:rsidR="00935224">
              <w:rPr>
                <w:rFonts w:asciiTheme="majorHAnsi" w:hAnsiTheme="majorHAnsi" w:cstheme="majorHAnsi"/>
                <w:color w:val="000000"/>
              </w:rPr>
              <w:t xml:space="preserve"> the launch of the</w:t>
            </w:r>
            <w:r w:rsidRPr="00E7609D">
              <w:rPr>
                <w:rFonts w:asciiTheme="majorHAnsi" w:hAnsiTheme="majorHAnsi" w:cstheme="majorHAnsi"/>
                <w:color w:val="000000"/>
              </w:rPr>
              <w:t xml:space="preserve"> </w:t>
            </w:r>
            <w:r w:rsidRPr="00E7609D">
              <w:rPr>
                <w:rFonts w:asciiTheme="majorHAnsi" w:hAnsiTheme="majorHAnsi" w:cstheme="majorHAnsi"/>
                <w:i/>
                <w:iCs/>
              </w:rPr>
              <w:t>Toolkit</w:t>
            </w:r>
            <w:r w:rsidR="00935224" w:rsidRPr="00E7609D">
              <w:rPr>
                <w:rFonts w:asciiTheme="majorHAnsi" w:hAnsiTheme="majorHAnsi" w:cstheme="majorHAnsi"/>
                <w:i/>
                <w:iCs/>
              </w:rPr>
              <w:t xml:space="preserve"> for</w:t>
            </w:r>
            <w:r w:rsidR="00935224">
              <w:rPr>
                <w:rFonts w:asciiTheme="majorHAnsi" w:hAnsiTheme="majorHAnsi" w:cstheme="majorHAnsi"/>
                <w:i/>
                <w:iCs/>
              </w:rPr>
              <w:t xml:space="preserve"> </w:t>
            </w:r>
            <w:r w:rsidR="00935224" w:rsidRPr="00C92B3E">
              <w:rPr>
                <w:rFonts w:asciiTheme="majorHAnsi" w:hAnsiTheme="majorHAnsi" w:cstheme="majorHAnsi"/>
                <w:i/>
                <w:iCs/>
              </w:rPr>
              <w:t>the promotion and delivery of community engagement in archaeology</w:t>
            </w:r>
            <w:r w:rsidR="00935224" w:rsidRPr="00E7609D">
              <w:rPr>
                <w:rFonts w:asciiTheme="majorHAnsi" w:hAnsiTheme="majorHAnsi" w:cstheme="majorHAnsi"/>
                <w:i/>
                <w:iCs/>
              </w:rPr>
              <w:t xml:space="preserve"> </w:t>
            </w:r>
            <w:r w:rsidRPr="00E7609D">
              <w:rPr>
                <w:rFonts w:asciiTheme="majorHAnsi" w:hAnsiTheme="majorHAnsi" w:cstheme="majorHAnsi"/>
                <w:color w:val="000000"/>
              </w:rPr>
              <w:t>to CIfA members</w:t>
            </w:r>
            <w:r w:rsidR="00935224">
              <w:rPr>
                <w:rFonts w:asciiTheme="majorHAnsi" w:hAnsiTheme="majorHAnsi" w:cstheme="majorHAnsi"/>
                <w:color w:val="000000"/>
              </w:rPr>
              <w:t>, R</w:t>
            </w:r>
            <w:r w:rsidR="00EA52B0">
              <w:rPr>
                <w:rFonts w:asciiTheme="majorHAnsi" w:hAnsiTheme="majorHAnsi" w:cstheme="majorHAnsi"/>
                <w:color w:val="000000"/>
              </w:rPr>
              <w:t>o</w:t>
            </w:r>
            <w:r w:rsidR="00935224">
              <w:rPr>
                <w:rFonts w:asciiTheme="majorHAnsi" w:hAnsiTheme="majorHAnsi" w:cstheme="majorHAnsi"/>
                <w:color w:val="000000"/>
              </w:rPr>
              <w:t>s</w:t>
            </w:r>
            <w:r w:rsidRPr="00E7609D">
              <w:rPr>
                <w:rFonts w:asciiTheme="majorHAnsi" w:hAnsiTheme="majorHAnsi" w:cstheme="majorHAnsi"/>
                <w:color w:val="000000"/>
              </w:rPr>
              <w:t xml:space="preserve"> and to stakeholders.</w:t>
            </w:r>
          </w:p>
          <w:p w14:paraId="740351F7" w14:textId="2761755F" w:rsidR="00B1299A" w:rsidRPr="001519BA" w:rsidRDefault="00B1299A" w:rsidP="001519BA">
            <w:pPr>
              <w:pStyle w:val="ListParagraph"/>
              <w:numPr>
                <w:ilvl w:val="0"/>
                <w:numId w:val="27"/>
              </w:numPr>
              <w:spacing w:after="120"/>
              <w:ind w:left="354" w:right="78" w:hanging="283"/>
              <w:jc w:val="both"/>
              <w:rPr>
                <w:rFonts w:asciiTheme="majorHAnsi" w:hAnsiTheme="majorHAnsi" w:cstheme="majorHAnsi"/>
              </w:rPr>
            </w:pPr>
            <w:r w:rsidRPr="00E7609D">
              <w:rPr>
                <w:rFonts w:asciiTheme="majorHAnsi" w:hAnsiTheme="majorHAnsi" w:cstheme="majorHAnsi"/>
                <w:color w:val="000000"/>
              </w:rPr>
              <w:t xml:space="preserve">Presentation of the final </w:t>
            </w:r>
            <w:r w:rsidR="001519BA">
              <w:rPr>
                <w:rFonts w:asciiTheme="majorHAnsi" w:hAnsiTheme="majorHAnsi" w:cstheme="majorHAnsi"/>
                <w:color w:val="000000"/>
              </w:rPr>
              <w:t>Toolkit</w:t>
            </w:r>
            <w:r w:rsidR="00935224">
              <w:t xml:space="preserve"> </w:t>
            </w:r>
            <w:r w:rsidR="00935224" w:rsidRPr="00935224">
              <w:rPr>
                <w:rFonts w:asciiTheme="majorHAnsi" w:hAnsiTheme="majorHAnsi" w:cstheme="majorHAnsi"/>
                <w:i/>
                <w:iCs/>
              </w:rPr>
              <w:t xml:space="preserve">for the promotion and delivery of community engagement in archaeology </w:t>
            </w:r>
            <w:r w:rsidR="001519BA">
              <w:rPr>
                <w:rFonts w:asciiTheme="majorHAnsi" w:hAnsiTheme="majorHAnsi" w:cstheme="majorHAnsi"/>
              </w:rPr>
              <w:t xml:space="preserve">at a future CIfA event, possibly the </w:t>
            </w:r>
            <w:r w:rsidRPr="00E7609D">
              <w:rPr>
                <w:rFonts w:asciiTheme="majorHAnsi" w:hAnsiTheme="majorHAnsi" w:cstheme="majorHAnsi"/>
                <w:color w:val="000000"/>
              </w:rPr>
              <w:t>CIfA Conference</w:t>
            </w:r>
            <w:r w:rsidR="001519BA">
              <w:rPr>
                <w:rFonts w:asciiTheme="majorHAnsi" w:hAnsiTheme="majorHAnsi" w:cstheme="majorHAnsi"/>
                <w:color w:val="000000"/>
              </w:rPr>
              <w:t xml:space="preserve"> (depending on timescales)</w:t>
            </w:r>
            <w:r w:rsidRPr="00E7609D">
              <w:rPr>
                <w:rFonts w:asciiTheme="majorHAnsi" w:hAnsiTheme="majorHAnsi" w:cstheme="majorHAnsi"/>
                <w:color w:val="000000"/>
              </w:rPr>
              <w:t>.</w:t>
            </w:r>
          </w:p>
        </w:tc>
      </w:tr>
      <w:tr w:rsidR="00B1299A" w:rsidRPr="00E7609D" w14:paraId="16C17AB4" w14:textId="77777777" w:rsidTr="00B1299A">
        <w:tc>
          <w:tcPr>
            <w:tcW w:w="1383" w:type="dxa"/>
            <w:tcBorders>
              <w:bottom w:val="single" w:sz="4" w:space="0" w:color="auto"/>
            </w:tcBorders>
          </w:tcPr>
          <w:p w14:paraId="61521147" w14:textId="77777777" w:rsidR="00B1299A" w:rsidRPr="00E7609D" w:rsidRDefault="00B1299A" w:rsidP="00B1299A">
            <w:pPr>
              <w:ind w:left="35"/>
              <w:rPr>
                <w:rFonts w:asciiTheme="majorHAnsi" w:hAnsiTheme="majorHAnsi" w:cstheme="majorHAnsi"/>
              </w:rPr>
            </w:pPr>
            <w:r w:rsidRPr="00E7609D">
              <w:rPr>
                <w:rFonts w:asciiTheme="majorHAnsi" w:hAnsiTheme="majorHAnsi" w:cstheme="majorHAnsi"/>
              </w:rPr>
              <w:lastRenderedPageBreak/>
              <w:t>Outputs</w:t>
            </w:r>
          </w:p>
        </w:tc>
        <w:tc>
          <w:tcPr>
            <w:tcW w:w="7259" w:type="dxa"/>
            <w:tcBorders>
              <w:bottom w:val="single" w:sz="4" w:space="0" w:color="auto"/>
            </w:tcBorders>
          </w:tcPr>
          <w:p w14:paraId="246DAE4E" w14:textId="2725EC8A" w:rsidR="00B1299A" w:rsidRPr="00E7609D" w:rsidRDefault="00B1299A" w:rsidP="00B1299A">
            <w:pPr>
              <w:pStyle w:val="ListParagraph"/>
              <w:numPr>
                <w:ilvl w:val="0"/>
                <w:numId w:val="24"/>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t xml:space="preserve">Publication of </w:t>
            </w:r>
            <w:r w:rsidRPr="00E7609D">
              <w:rPr>
                <w:rFonts w:asciiTheme="majorHAnsi" w:hAnsiTheme="majorHAnsi" w:cstheme="majorHAnsi"/>
                <w:i/>
                <w:iCs/>
              </w:rPr>
              <w:t xml:space="preserve">Toolkit for the promotion and delivery of community engagement in archaeology </w:t>
            </w:r>
          </w:p>
          <w:p w14:paraId="74F03416" w14:textId="3F6A095E" w:rsidR="00B1299A" w:rsidRPr="00E7609D" w:rsidRDefault="00B1299A" w:rsidP="00B1299A">
            <w:pPr>
              <w:pStyle w:val="ListParagraph"/>
              <w:numPr>
                <w:ilvl w:val="0"/>
                <w:numId w:val="24"/>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t>Implementation plan (promotion, training etc)</w:t>
            </w:r>
          </w:p>
          <w:p w14:paraId="1EC4B430" w14:textId="25772F49" w:rsidR="00B1299A" w:rsidRDefault="00B1299A" w:rsidP="00B1299A">
            <w:pPr>
              <w:pStyle w:val="ListParagraph"/>
              <w:numPr>
                <w:ilvl w:val="0"/>
                <w:numId w:val="24"/>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t>Evaluation of impact plan</w:t>
            </w:r>
            <w:r w:rsidR="00EA52B0">
              <w:rPr>
                <w:rFonts w:asciiTheme="majorHAnsi" w:hAnsiTheme="majorHAnsi" w:cstheme="majorHAnsi"/>
                <w:color w:val="000000"/>
              </w:rPr>
              <w:t>/</w:t>
            </w:r>
            <w:r w:rsidR="00EA52B0">
              <w:rPr>
                <w:rFonts w:asciiTheme="majorHAnsi" w:hAnsiTheme="majorHAnsi" w:cstheme="majorHAnsi"/>
              </w:rPr>
              <w:t>road map</w:t>
            </w:r>
            <w:r w:rsidRPr="00E7609D">
              <w:rPr>
                <w:rFonts w:asciiTheme="majorHAnsi" w:hAnsiTheme="majorHAnsi" w:cstheme="majorHAnsi"/>
                <w:color w:val="000000"/>
              </w:rPr>
              <w:t xml:space="preserve"> </w:t>
            </w:r>
          </w:p>
          <w:p w14:paraId="217A5C1F" w14:textId="78C4EB8F" w:rsidR="001519BA" w:rsidRPr="00E7609D" w:rsidRDefault="001519BA" w:rsidP="00B1299A">
            <w:pPr>
              <w:pStyle w:val="ListParagraph"/>
              <w:numPr>
                <w:ilvl w:val="0"/>
                <w:numId w:val="24"/>
              </w:numPr>
              <w:autoSpaceDE w:val="0"/>
              <w:autoSpaceDN w:val="0"/>
              <w:adjustRightInd w:val="0"/>
              <w:spacing w:after="120"/>
              <w:ind w:left="354" w:hanging="283"/>
              <w:jc w:val="both"/>
              <w:rPr>
                <w:rFonts w:asciiTheme="majorHAnsi" w:hAnsiTheme="majorHAnsi" w:cstheme="majorHAnsi"/>
                <w:color w:val="000000"/>
              </w:rPr>
            </w:pPr>
            <w:r>
              <w:rPr>
                <w:rFonts w:asciiTheme="majorHAnsi" w:hAnsiTheme="majorHAnsi" w:cstheme="majorHAnsi"/>
                <w:color w:val="000000"/>
              </w:rPr>
              <w:t xml:space="preserve">Updated CIfA Standards and guidance section with signposting to the </w:t>
            </w:r>
            <w:r w:rsidRPr="001519BA">
              <w:rPr>
                <w:rFonts w:asciiTheme="majorHAnsi" w:hAnsiTheme="majorHAnsi" w:cstheme="majorHAnsi"/>
                <w:i/>
                <w:iCs/>
                <w:color w:val="000000"/>
              </w:rPr>
              <w:t>Toolkit</w:t>
            </w:r>
            <w:r>
              <w:rPr>
                <w:rFonts w:asciiTheme="majorHAnsi" w:hAnsiTheme="majorHAnsi" w:cstheme="majorHAnsi"/>
                <w:color w:val="000000"/>
              </w:rPr>
              <w:t xml:space="preserve"> </w:t>
            </w:r>
            <w:r w:rsidRPr="00E7609D">
              <w:rPr>
                <w:rFonts w:asciiTheme="majorHAnsi" w:hAnsiTheme="majorHAnsi" w:cstheme="majorHAnsi"/>
                <w:i/>
                <w:iCs/>
              </w:rPr>
              <w:t>for</w:t>
            </w:r>
            <w:r>
              <w:rPr>
                <w:rFonts w:asciiTheme="majorHAnsi" w:hAnsiTheme="majorHAnsi" w:cstheme="majorHAnsi"/>
                <w:i/>
                <w:iCs/>
              </w:rPr>
              <w:t xml:space="preserve"> </w:t>
            </w:r>
            <w:r w:rsidRPr="00C92B3E">
              <w:rPr>
                <w:rFonts w:asciiTheme="majorHAnsi" w:hAnsiTheme="majorHAnsi" w:cstheme="majorHAnsi"/>
                <w:i/>
                <w:iCs/>
              </w:rPr>
              <w:t>the promotion and delivery of community engagement in archaeology</w:t>
            </w:r>
          </w:p>
          <w:p w14:paraId="7B4164B5" w14:textId="77777777" w:rsidR="00B1299A" w:rsidRPr="00E7609D" w:rsidRDefault="00B1299A" w:rsidP="00B1299A">
            <w:pPr>
              <w:pStyle w:val="ListParagraph"/>
              <w:numPr>
                <w:ilvl w:val="0"/>
                <w:numId w:val="24"/>
              </w:numPr>
              <w:autoSpaceDE w:val="0"/>
              <w:autoSpaceDN w:val="0"/>
              <w:adjustRightInd w:val="0"/>
              <w:spacing w:after="120"/>
              <w:ind w:left="354" w:hanging="283"/>
              <w:jc w:val="both"/>
              <w:rPr>
                <w:rFonts w:asciiTheme="majorHAnsi" w:hAnsiTheme="majorHAnsi" w:cstheme="majorHAnsi"/>
                <w:color w:val="000000"/>
              </w:rPr>
            </w:pPr>
            <w:r w:rsidRPr="00E7609D">
              <w:rPr>
                <w:rFonts w:asciiTheme="majorHAnsi" w:hAnsiTheme="majorHAnsi" w:cstheme="majorHAnsi"/>
                <w:color w:val="000000"/>
              </w:rPr>
              <w:t>End of project report (CIfA)</w:t>
            </w:r>
          </w:p>
        </w:tc>
      </w:tr>
    </w:tbl>
    <w:p w14:paraId="316EFD4B" w14:textId="77777777" w:rsidR="00B1299A" w:rsidRDefault="00B1299A" w:rsidP="00332050">
      <w:pPr>
        <w:spacing w:line="240" w:lineRule="auto"/>
      </w:pPr>
    </w:p>
    <w:p w14:paraId="17E39345" w14:textId="77777777" w:rsidR="00B1299A" w:rsidRDefault="00B1299A" w:rsidP="00332050">
      <w:pPr>
        <w:spacing w:line="240" w:lineRule="auto"/>
      </w:pPr>
    </w:p>
    <w:p w14:paraId="52E39421" w14:textId="77777777" w:rsidR="00B1299A" w:rsidRDefault="00B1299A" w:rsidP="00332050">
      <w:pPr>
        <w:spacing w:line="240" w:lineRule="auto"/>
      </w:pPr>
    </w:p>
    <w:p w14:paraId="1AE93BFB" w14:textId="77777777" w:rsidR="00B1299A" w:rsidRDefault="00B1299A" w:rsidP="00332050">
      <w:pPr>
        <w:spacing w:line="240" w:lineRule="auto"/>
      </w:pPr>
    </w:p>
    <w:p w14:paraId="4E70E03C" w14:textId="77777777" w:rsidR="00B1299A" w:rsidRDefault="00B1299A" w:rsidP="00332050">
      <w:pPr>
        <w:spacing w:line="240" w:lineRule="auto"/>
      </w:pPr>
    </w:p>
    <w:p w14:paraId="3B6E8BD1" w14:textId="77777777" w:rsidR="00B1299A" w:rsidRDefault="00B1299A" w:rsidP="00332050">
      <w:pPr>
        <w:spacing w:line="240" w:lineRule="auto"/>
      </w:pPr>
    </w:p>
    <w:p w14:paraId="04DF48EC" w14:textId="77777777" w:rsidR="00B1299A" w:rsidRDefault="00B1299A" w:rsidP="00332050">
      <w:pPr>
        <w:spacing w:line="240" w:lineRule="auto"/>
      </w:pPr>
    </w:p>
    <w:p w14:paraId="2BA494F3" w14:textId="77777777" w:rsidR="007C22B9" w:rsidRDefault="007C22B9" w:rsidP="007C22B9">
      <w:pPr>
        <w:spacing w:line="240" w:lineRule="auto"/>
        <w:rPr>
          <w:b/>
        </w:rPr>
      </w:pPr>
      <w:r w:rsidRPr="007C22B9">
        <w:rPr>
          <w:b/>
        </w:rPr>
        <w:tab/>
      </w:r>
    </w:p>
    <w:p w14:paraId="2F216D9D" w14:textId="0F6F43EC" w:rsidR="007C22B9" w:rsidRPr="008155B6" w:rsidRDefault="007C22B9" w:rsidP="007C22B9">
      <w:pPr>
        <w:spacing w:line="240" w:lineRule="auto"/>
        <w:rPr>
          <w:b/>
        </w:rPr>
      </w:pPr>
      <w:r w:rsidRPr="008155B6">
        <w:rPr>
          <w:b/>
        </w:rPr>
        <w:t>Ownership and copyright</w:t>
      </w:r>
    </w:p>
    <w:p w14:paraId="3076FBD3" w14:textId="7E1D02DB" w:rsidR="007C22B9" w:rsidRPr="008155B6" w:rsidRDefault="007C22B9" w:rsidP="007C22B9">
      <w:pPr>
        <w:spacing w:line="240" w:lineRule="auto"/>
      </w:pPr>
      <w:r w:rsidRPr="008155B6">
        <w:t xml:space="preserve">Copyright on the CIfA suite of guidance forming the Toolkit will be with CIfA, though an </w:t>
      </w:r>
      <w:proofErr w:type="gramStart"/>
      <w:r w:rsidRPr="008155B6">
        <w:t>in perpetuity</w:t>
      </w:r>
      <w:proofErr w:type="gramEnd"/>
      <w:r w:rsidRPr="008155B6">
        <w:t xml:space="preserve"> licence will be granted to Historic England. </w:t>
      </w:r>
    </w:p>
    <w:p w14:paraId="63319EF7" w14:textId="38D8F842" w:rsidR="009D13F8" w:rsidRDefault="007C22B9" w:rsidP="00332050">
      <w:pPr>
        <w:spacing w:line="240" w:lineRule="auto"/>
      </w:pPr>
      <w:r w:rsidRPr="008155B6">
        <w:t>Copyright of the additional guidance and case studies will use a creative commons licence.</w:t>
      </w:r>
    </w:p>
    <w:p w14:paraId="151A1C42" w14:textId="16FAD405" w:rsidR="00B1299A" w:rsidRPr="00EA447D" w:rsidRDefault="00EA447D" w:rsidP="00332050">
      <w:pPr>
        <w:spacing w:line="240" w:lineRule="auto"/>
        <w:rPr>
          <w:b/>
          <w:bCs/>
        </w:rPr>
      </w:pPr>
      <w:r w:rsidRPr="00EA447D">
        <w:rPr>
          <w:b/>
          <w:bCs/>
        </w:rPr>
        <w:t>Proposed project team</w:t>
      </w:r>
    </w:p>
    <w:p w14:paraId="5DAAF94F" w14:textId="1CBA7A3A" w:rsidR="00EA447D" w:rsidRPr="00EA447D" w:rsidRDefault="00EA447D" w:rsidP="00EA447D">
      <w:pPr>
        <w:spacing w:line="240" w:lineRule="auto"/>
      </w:pPr>
      <w:r w:rsidRPr="00EA447D">
        <w:t>The project will be managed through CIfA head office.</w:t>
      </w:r>
      <w:r w:rsidR="00993945">
        <w:t xml:space="preserve"> The project team will liaise with the appointed consultant(s) and advisory board.</w:t>
      </w:r>
    </w:p>
    <w:p w14:paraId="032B2C49" w14:textId="77777777" w:rsidR="00EA447D" w:rsidRPr="00EA447D" w:rsidRDefault="00EA447D" w:rsidP="00EA447D">
      <w:pPr>
        <w:spacing w:line="240" w:lineRule="auto"/>
        <w:rPr>
          <w:b/>
          <w:bCs/>
        </w:rPr>
      </w:pP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160"/>
        <w:gridCol w:w="5070"/>
      </w:tblGrid>
      <w:tr w:rsidR="00EA447D" w:rsidRPr="00EA447D" w14:paraId="50E6A9DE" w14:textId="77777777" w:rsidTr="00EB298A">
        <w:trPr>
          <w:trHeight w:val="249"/>
        </w:trPr>
        <w:tc>
          <w:tcPr>
            <w:tcW w:w="2830" w:type="dxa"/>
            <w:shd w:val="clear" w:color="auto" w:fill="F2F2F2" w:themeFill="background1" w:themeFillShade="F2"/>
          </w:tcPr>
          <w:p w14:paraId="2A4EA52B" w14:textId="77777777" w:rsidR="00EA447D" w:rsidRPr="00EA447D" w:rsidRDefault="00EA447D" w:rsidP="00EA447D">
            <w:pPr>
              <w:spacing w:line="240" w:lineRule="auto"/>
            </w:pPr>
            <w:r w:rsidRPr="00EA447D">
              <w:rPr>
                <w:b/>
                <w:bCs/>
              </w:rPr>
              <w:t xml:space="preserve">Member </w:t>
            </w:r>
          </w:p>
        </w:tc>
        <w:tc>
          <w:tcPr>
            <w:tcW w:w="2160" w:type="dxa"/>
            <w:shd w:val="clear" w:color="auto" w:fill="F2F2F2" w:themeFill="background1" w:themeFillShade="F2"/>
          </w:tcPr>
          <w:p w14:paraId="26232264" w14:textId="77777777" w:rsidR="00EA447D" w:rsidRPr="00EA447D" w:rsidRDefault="00EA447D" w:rsidP="00EA447D">
            <w:pPr>
              <w:spacing w:line="240" w:lineRule="auto"/>
            </w:pPr>
            <w:r w:rsidRPr="00EA447D">
              <w:rPr>
                <w:b/>
                <w:bCs/>
              </w:rPr>
              <w:t xml:space="preserve">Project Role </w:t>
            </w:r>
          </w:p>
        </w:tc>
        <w:tc>
          <w:tcPr>
            <w:tcW w:w="5070" w:type="dxa"/>
            <w:shd w:val="clear" w:color="auto" w:fill="F2F2F2" w:themeFill="background1" w:themeFillShade="F2"/>
          </w:tcPr>
          <w:p w14:paraId="2CEB108D" w14:textId="77777777" w:rsidR="00EA447D" w:rsidRPr="00EA447D" w:rsidRDefault="00EA447D" w:rsidP="00EA447D">
            <w:pPr>
              <w:spacing w:line="240" w:lineRule="auto"/>
            </w:pPr>
            <w:r w:rsidRPr="00EA447D">
              <w:rPr>
                <w:b/>
                <w:bCs/>
              </w:rPr>
              <w:t xml:space="preserve">Representing/ affiliations </w:t>
            </w:r>
          </w:p>
        </w:tc>
      </w:tr>
      <w:tr w:rsidR="00EA447D" w:rsidRPr="00EA447D" w14:paraId="7A1ED64B" w14:textId="77777777" w:rsidTr="00EB298A">
        <w:trPr>
          <w:trHeight w:val="244"/>
        </w:trPr>
        <w:tc>
          <w:tcPr>
            <w:tcW w:w="2830" w:type="dxa"/>
          </w:tcPr>
          <w:p w14:paraId="3C0F8FC7" w14:textId="77777777" w:rsidR="00EA447D" w:rsidRPr="00EA447D" w:rsidRDefault="00EA447D" w:rsidP="00EA447D">
            <w:pPr>
              <w:spacing w:line="240" w:lineRule="auto"/>
            </w:pPr>
            <w:r w:rsidRPr="00EA447D">
              <w:t>Kate Geary MCIfA</w:t>
            </w:r>
          </w:p>
        </w:tc>
        <w:tc>
          <w:tcPr>
            <w:tcW w:w="2160" w:type="dxa"/>
          </w:tcPr>
          <w:p w14:paraId="3C0B8EE0" w14:textId="77777777" w:rsidR="00EA447D" w:rsidRPr="00EA447D" w:rsidRDefault="00EA447D" w:rsidP="00EA447D">
            <w:pPr>
              <w:spacing w:line="240" w:lineRule="auto"/>
            </w:pPr>
            <w:r w:rsidRPr="00EA447D">
              <w:t xml:space="preserve">Project Executive </w:t>
            </w:r>
          </w:p>
        </w:tc>
        <w:tc>
          <w:tcPr>
            <w:tcW w:w="5070" w:type="dxa"/>
          </w:tcPr>
          <w:p w14:paraId="2274E917" w14:textId="77777777" w:rsidR="00EA447D" w:rsidRPr="00EA447D" w:rsidRDefault="00EA447D" w:rsidP="00EA447D">
            <w:pPr>
              <w:spacing w:line="240" w:lineRule="auto"/>
            </w:pPr>
            <w:r w:rsidRPr="00EA447D">
              <w:t xml:space="preserve">CIfA Head of Professional Development and Practice </w:t>
            </w:r>
          </w:p>
        </w:tc>
      </w:tr>
      <w:tr w:rsidR="009D13F8" w:rsidRPr="00EA447D" w14:paraId="61499CB7" w14:textId="77777777" w:rsidTr="00EB298A">
        <w:trPr>
          <w:trHeight w:val="244"/>
        </w:trPr>
        <w:tc>
          <w:tcPr>
            <w:tcW w:w="2830" w:type="dxa"/>
          </w:tcPr>
          <w:p w14:paraId="009B327C" w14:textId="33B6CFDC" w:rsidR="009D13F8" w:rsidRPr="00EA447D" w:rsidRDefault="002778A5" w:rsidP="009D13F8">
            <w:pPr>
              <w:spacing w:line="240" w:lineRule="auto"/>
            </w:pPr>
            <w:r>
              <w:t>Cara Jones ACIfA</w:t>
            </w:r>
          </w:p>
        </w:tc>
        <w:tc>
          <w:tcPr>
            <w:tcW w:w="2160" w:type="dxa"/>
          </w:tcPr>
          <w:p w14:paraId="5CEC81BC" w14:textId="7C40BC94" w:rsidR="009D13F8" w:rsidRPr="00EA447D" w:rsidRDefault="009D13F8" w:rsidP="009D13F8">
            <w:pPr>
              <w:spacing w:line="240" w:lineRule="auto"/>
            </w:pPr>
            <w:r w:rsidRPr="00EA447D">
              <w:t xml:space="preserve">Project </w:t>
            </w:r>
            <w:r>
              <w:t>manager/primary CIfA contact</w:t>
            </w:r>
          </w:p>
        </w:tc>
        <w:tc>
          <w:tcPr>
            <w:tcW w:w="5070" w:type="dxa"/>
          </w:tcPr>
          <w:p w14:paraId="7839ED18" w14:textId="5209A19A" w:rsidR="009D13F8" w:rsidRPr="00EA447D" w:rsidRDefault="009D13F8" w:rsidP="009D13F8">
            <w:pPr>
              <w:spacing w:line="240" w:lineRule="auto"/>
            </w:pPr>
            <w:r w:rsidRPr="00EA447D">
              <w:t>CIfA Senior</w:t>
            </w:r>
            <w:r w:rsidR="002778A5">
              <w:t xml:space="preserve"> </w:t>
            </w:r>
            <w:r w:rsidR="002778A5" w:rsidRPr="002778A5">
              <w:t>Professional Development and Practice</w:t>
            </w:r>
            <w:r w:rsidR="002778A5">
              <w:t xml:space="preserve"> Coordinator </w:t>
            </w:r>
          </w:p>
        </w:tc>
      </w:tr>
      <w:tr w:rsidR="009D13F8" w:rsidRPr="00EA447D" w14:paraId="35D4ED86" w14:textId="77777777" w:rsidTr="00EB298A">
        <w:trPr>
          <w:trHeight w:val="244"/>
        </w:trPr>
        <w:tc>
          <w:tcPr>
            <w:tcW w:w="2830" w:type="dxa"/>
          </w:tcPr>
          <w:p w14:paraId="706EB79B" w14:textId="12DD8A9B" w:rsidR="009D13F8" w:rsidRPr="00EA447D" w:rsidRDefault="009D13F8" w:rsidP="009D13F8">
            <w:pPr>
              <w:spacing w:line="240" w:lineRule="auto"/>
            </w:pPr>
            <w:r>
              <w:t>Project consultant</w:t>
            </w:r>
          </w:p>
        </w:tc>
        <w:tc>
          <w:tcPr>
            <w:tcW w:w="2160" w:type="dxa"/>
          </w:tcPr>
          <w:p w14:paraId="6286960A" w14:textId="581B1DA5" w:rsidR="009D13F8" w:rsidRPr="00EA447D" w:rsidRDefault="009D13F8" w:rsidP="009D13F8">
            <w:pPr>
              <w:spacing w:line="240" w:lineRule="auto"/>
            </w:pPr>
            <w:r w:rsidRPr="00EA447D">
              <w:t>Principal Investigator</w:t>
            </w:r>
          </w:p>
        </w:tc>
        <w:tc>
          <w:tcPr>
            <w:tcW w:w="5070" w:type="dxa"/>
          </w:tcPr>
          <w:p w14:paraId="6036EAA7" w14:textId="234D2BC5" w:rsidR="009D13F8" w:rsidRPr="00EA447D" w:rsidRDefault="009D13F8" w:rsidP="009D13F8">
            <w:pPr>
              <w:spacing w:line="240" w:lineRule="auto"/>
            </w:pPr>
            <w:r>
              <w:t>TBC</w:t>
            </w:r>
            <w:r w:rsidRPr="00EA447D">
              <w:t xml:space="preserve"> </w:t>
            </w:r>
          </w:p>
        </w:tc>
      </w:tr>
      <w:tr w:rsidR="009D13F8" w:rsidRPr="00EA447D" w14:paraId="61F34072" w14:textId="77777777" w:rsidTr="00EB298A">
        <w:trPr>
          <w:trHeight w:val="244"/>
        </w:trPr>
        <w:tc>
          <w:tcPr>
            <w:tcW w:w="2830" w:type="dxa"/>
          </w:tcPr>
          <w:p w14:paraId="14E9B858" w14:textId="77777777" w:rsidR="009D13F8" w:rsidRPr="00EA447D" w:rsidRDefault="009D13F8" w:rsidP="009D13F8">
            <w:pPr>
              <w:spacing w:line="240" w:lineRule="auto"/>
            </w:pPr>
            <w:r w:rsidRPr="00EA447D">
              <w:t>Dan Miles</w:t>
            </w:r>
          </w:p>
        </w:tc>
        <w:tc>
          <w:tcPr>
            <w:tcW w:w="2160" w:type="dxa"/>
          </w:tcPr>
          <w:p w14:paraId="6551C2EF" w14:textId="77777777" w:rsidR="009D13F8" w:rsidRPr="00EA447D" w:rsidRDefault="009D13F8" w:rsidP="009D13F8">
            <w:pPr>
              <w:spacing w:line="240" w:lineRule="auto"/>
            </w:pPr>
            <w:r w:rsidRPr="00EA447D">
              <w:t>Project Officer</w:t>
            </w:r>
          </w:p>
        </w:tc>
        <w:tc>
          <w:tcPr>
            <w:tcW w:w="5070" w:type="dxa"/>
          </w:tcPr>
          <w:p w14:paraId="0CB04928" w14:textId="4743F4C6" w:rsidR="009D13F8" w:rsidRPr="00EA447D" w:rsidRDefault="009D13F8" w:rsidP="009D13F8">
            <w:pPr>
              <w:spacing w:line="240" w:lineRule="auto"/>
            </w:pPr>
            <w:r w:rsidRPr="00EA447D">
              <w:t xml:space="preserve">HE </w:t>
            </w:r>
            <w:r w:rsidR="00CB268C">
              <w:t>Research Infrastructure Adviser</w:t>
            </w:r>
            <w:r>
              <w:t>/ CIfA V&amp;C SIG Chair</w:t>
            </w:r>
          </w:p>
        </w:tc>
      </w:tr>
      <w:tr w:rsidR="00595638" w:rsidRPr="00EA447D" w14:paraId="1ED43665" w14:textId="77777777" w:rsidTr="00EB298A">
        <w:trPr>
          <w:trHeight w:val="244"/>
        </w:trPr>
        <w:tc>
          <w:tcPr>
            <w:tcW w:w="2830" w:type="dxa"/>
          </w:tcPr>
          <w:p w14:paraId="7FF79164" w14:textId="44E87870" w:rsidR="00595638" w:rsidRPr="00EA447D" w:rsidRDefault="00595638" w:rsidP="009D13F8">
            <w:pPr>
              <w:spacing w:line="240" w:lineRule="auto"/>
            </w:pPr>
            <w:r>
              <w:t>Sarah</w:t>
            </w:r>
            <w:r w:rsidR="006800C8">
              <w:t xml:space="preserve">-Jane </w:t>
            </w:r>
            <w:r w:rsidR="00A02E90">
              <w:t>Farr</w:t>
            </w:r>
          </w:p>
        </w:tc>
        <w:tc>
          <w:tcPr>
            <w:tcW w:w="2160" w:type="dxa"/>
          </w:tcPr>
          <w:p w14:paraId="57919A8B" w14:textId="0DD15FD0" w:rsidR="00595638" w:rsidRPr="00EA447D" w:rsidRDefault="00A02E90" w:rsidP="009D13F8">
            <w:pPr>
              <w:spacing w:line="240" w:lineRule="auto"/>
            </w:pPr>
            <w:r w:rsidRPr="00EA447D">
              <w:t>Project Officer</w:t>
            </w:r>
          </w:p>
        </w:tc>
        <w:tc>
          <w:tcPr>
            <w:tcW w:w="5070" w:type="dxa"/>
          </w:tcPr>
          <w:p w14:paraId="07E2B206" w14:textId="57278715" w:rsidR="00595638" w:rsidRPr="00EA447D" w:rsidRDefault="0029070B" w:rsidP="009D13F8">
            <w:pPr>
              <w:spacing w:line="240" w:lineRule="auto"/>
            </w:pPr>
            <w:r>
              <w:t xml:space="preserve">CIfA </w:t>
            </w:r>
            <w:r w:rsidR="00A02E90">
              <w:t>V&amp;C representative</w:t>
            </w:r>
          </w:p>
        </w:tc>
      </w:tr>
    </w:tbl>
    <w:p w14:paraId="40D2B0A7" w14:textId="77777777" w:rsidR="008155B6" w:rsidRDefault="008155B6" w:rsidP="00532049">
      <w:pPr>
        <w:autoSpaceDE w:val="0"/>
        <w:autoSpaceDN w:val="0"/>
        <w:adjustRightInd w:val="0"/>
        <w:spacing w:after="0" w:line="240" w:lineRule="auto"/>
        <w:contextualSpacing/>
        <w:jc w:val="both"/>
        <w:rPr>
          <w:rFonts w:eastAsia="Times New Roman"/>
          <w:b/>
          <w:bCs/>
        </w:rPr>
      </w:pPr>
    </w:p>
    <w:p w14:paraId="0AB53C7D" w14:textId="743E839D" w:rsidR="00C22663" w:rsidRPr="00B40989" w:rsidRDefault="00C22663" w:rsidP="00C22663">
      <w:pPr>
        <w:spacing w:after="160" w:line="259" w:lineRule="auto"/>
        <w:rPr>
          <w:rFonts w:eastAsia="Times New Roman"/>
          <w:b/>
          <w:bCs/>
        </w:rPr>
      </w:pPr>
      <w:r w:rsidRPr="00B40989">
        <w:rPr>
          <w:rFonts w:eastAsia="Times New Roman"/>
          <w:b/>
          <w:bCs/>
        </w:rPr>
        <w:lastRenderedPageBreak/>
        <w:t xml:space="preserve">Health and safety </w:t>
      </w:r>
    </w:p>
    <w:p w14:paraId="65DE4945" w14:textId="2B202E71" w:rsidR="00C22663" w:rsidRPr="00D06628" w:rsidRDefault="00C22663" w:rsidP="00C22663">
      <w:pPr>
        <w:jc w:val="both"/>
        <w:rPr>
          <w:rFonts w:asciiTheme="majorHAnsi" w:hAnsiTheme="majorHAnsi" w:cstheme="majorHAnsi"/>
        </w:rPr>
      </w:pPr>
      <w:r w:rsidRPr="00D06628">
        <w:rPr>
          <w:rFonts w:asciiTheme="majorHAnsi" w:hAnsiTheme="majorHAnsi" w:cstheme="majorHAnsi"/>
          <w:spacing w:val="3"/>
        </w:rPr>
        <w:t>CIfA</w:t>
      </w:r>
      <w:r w:rsidRPr="00D06628">
        <w:rPr>
          <w:rFonts w:asciiTheme="majorHAnsi" w:hAnsiTheme="majorHAnsi" w:cstheme="majorHAnsi"/>
          <w:spacing w:val="-12"/>
        </w:rPr>
        <w:t xml:space="preserve"> </w:t>
      </w:r>
      <w:r w:rsidRPr="00D06628">
        <w:rPr>
          <w:rFonts w:asciiTheme="majorHAnsi" w:hAnsiTheme="majorHAnsi" w:cstheme="majorHAnsi"/>
          <w:spacing w:val="1"/>
        </w:rPr>
        <w:t>r</w:t>
      </w:r>
      <w:r w:rsidRPr="00D06628">
        <w:rPr>
          <w:rFonts w:asciiTheme="majorHAnsi" w:hAnsiTheme="majorHAnsi" w:cstheme="majorHAnsi"/>
        </w:rPr>
        <w:t>e</w:t>
      </w:r>
      <w:r w:rsidRPr="00D06628">
        <w:rPr>
          <w:rFonts w:asciiTheme="majorHAnsi" w:hAnsiTheme="majorHAnsi" w:cstheme="majorHAnsi"/>
          <w:spacing w:val="1"/>
        </w:rPr>
        <w:t>c</w:t>
      </w:r>
      <w:r w:rsidRPr="00D06628">
        <w:rPr>
          <w:rFonts w:asciiTheme="majorHAnsi" w:hAnsiTheme="majorHAnsi" w:cstheme="majorHAnsi"/>
        </w:rPr>
        <w:t>og</w:t>
      </w:r>
      <w:r w:rsidRPr="00D06628">
        <w:rPr>
          <w:rFonts w:asciiTheme="majorHAnsi" w:hAnsiTheme="majorHAnsi" w:cstheme="majorHAnsi"/>
          <w:spacing w:val="2"/>
        </w:rPr>
        <w:t>n</w:t>
      </w:r>
      <w:r w:rsidRPr="00D06628">
        <w:rPr>
          <w:rFonts w:asciiTheme="majorHAnsi" w:hAnsiTheme="majorHAnsi" w:cstheme="majorHAnsi"/>
          <w:spacing w:val="-1"/>
        </w:rPr>
        <w:t>i</w:t>
      </w:r>
      <w:r w:rsidRPr="00D06628">
        <w:rPr>
          <w:rFonts w:asciiTheme="majorHAnsi" w:hAnsiTheme="majorHAnsi" w:cstheme="majorHAnsi"/>
          <w:spacing w:val="1"/>
        </w:rPr>
        <w:t>s</w:t>
      </w:r>
      <w:r w:rsidRPr="00D06628">
        <w:rPr>
          <w:rFonts w:asciiTheme="majorHAnsi" w:hAnsiTheme="majorHAnsi" w:cstheme="majorHAnsi"/>
        </w:rPr>
        <w:t>es</w:t>
      </w:r>
      <w:r w:rsidRPr="00D06628">
        <w:rPr>
          <w:rFonts w:asciiTheme="majorHAnsi" w:hAnsiTheme="majorHAnsi" w:cstheme="majorHAnsi"/>
          <w:spacing w:val="-9"/>
        </w:rPr>
        <w:t xml:space="preserve"> </w:t>
      </w:r>
      <w:r w:rsidRPr="00D06628">
        <w:rPr>
          <w:rFonts w:asciiTheme="majorHAnsi" w:hAnsiTheme="majorHAnsi" w:cstheme="majorHAnsi"/>
        </w:rPr>
        <w:t>a</w:t>
      </w:r>
      <w:r w:rsidRPr="00D06628">
        <w:rPr>
          <w:rFonts w:asciiTheme="majorHAnsi" w:hAnsiTheme="majorHAnsi" w:cstheme="majorHAnsi"/>
          <w:spacing w:val="2"/>
        </w:rPr>
        <w:t>n</w:t>
      </w:r>
      <w:r w:rsidRPr="00D06628">
        <w:rPr>
          <w:rFonts w:asciiTheme="majorHAnsi" w:hAnsiTheme="majorHAnsi" w:cstheme="majorHAnsi"/>
        </w:rPr>
        <w:t>d</w:t>
      </w:r>
      <w:r w:rsidRPr="00D06628">
        <w:rPr>
          <w:rFonts w:asciiTheme="majorHAnsi" w:hAnsiTheme="majorHAnsi" w:cstheme="majorHAnsi"/>
          <w:spacing w:val="-4"/>
        </w:rPr>
        <w:t xml:space="preserve"> </w:t>
      </w:r>
      <w:r w:rsidRPr="00D06628">
        <w:rPr>
          <w:rFonts w:asciiTheme="majorHAnsi" w:hAnsiTheme="majorHAnsi" w:cstheme="majorHAnsi"/>
        </w:rPr>
        <w:t>a</w:t>
      </w:r>
      <w:r w:rsidRPr="00D06628">
        <w:rPr>
          <w:rFonts w:asciiTheme="majorHAnsi" w:hAnsiTheme="majorHAnsi" w:cstheme="majorHAnsi"/>
          <w:spacing w:val="1"/>
        </w:rPr>
        <w:t>cc</w:t>
      </w:r>
      <w:r w:rsidRPr="00D06628">
        <w:rPr>
          <w:rFonts w:asciiTheme="majorHAnsi" w:hAnsiTheme="majorHAnsi" w:cstheme="majorHAnsi"/>
        </w:rPr>
        <w:t>e</w:t>
      </w:r>
      <w:r w:rsidRPr="00D06628">
        <w:rPr>
          <w:rFonts w:asciiTheme="majorHAnsi" w:hAnsiTheme="majorHAnsi" w:cstheme="majorHAnsi"/>
          <w:spacing w:val="2"/>
        </w:rPr>
        <w:t>p</w:t>
      </w:r>
      <w:r w:rsidRPr="00D06628">
        <w:rPr>
          <w:rFonts w:asciiTheme="majorHAnsi" w:hAnsiTheme="majorHAnsi" w:cstheme="majorHAnsi"/>
        </w:rPr>
        <w:t>ts</w:t>
      </w:r>
      <w:r w:rsidRPr="00D06628">
        <w:rPr>
          <w:rFonts w:asciiTheme="majorHAnsi" w:hAnsiTheme="majorHAnsi" w:cstheme="majorHAnsi"/>
          <w:spacing w:val="-6"/>
        </w:rPr>
        <w:t xml:space="preserve"> </w:t>
      </w:r>
      <w:r w:rsidRPr="00D06628">
        <w:rPr>
          <w:rFonts w:asciiTheme="majorHAnsi" w:hAnsiTheme="majorHAnsi" w:cstheme="majorHAnsi"/>
          <w:spacing w:val="-1"/>
        </w:rPr>
        <w:t>i</w:t>
      </w:r>
      <w:r w:rsidRPr="00D06628">
        <w:rPr>
          <w:rFonts w:asciiTheme="majorHAnsi" w:hAnsiTheme="majorHAnsi" w:cstheme="majorHAnsi"/>
        </w:rPr>
        <w:t>ts</w:t>
      </w:r>
      <w:r w:rsidRPr="00D06628">
        <w:rPr>
          <w:rFonts w:asciiTheme="majorHAnsi" w:hAnsiTheme="majorHAnsi" w:cstheme="majorHAnsi"/>
          <w:spacing w:val="-1"/>
        </w:rPr>
        <w:t xml:space="preserve"> </w:t>
      </w:r>
      <w:r w:rsidRPr="00D06628">
        <w:rPr>
          <w:rFonts w:asciiTheme="majorHAnsi" w:hAnsiTheme="majorHAnsi" w:cstheme="majorHAnsi"/>
          <w:spacing w:val="1"/>
        </w:rPr>
        <w:t>r</w:t>
      </w:r>
      <w:r w:rsidRPr="00D06628">
        <w:rPr>
          <w:rFonts w:asciiTheme="majorHAnsi" w:hAnsiTheme="majorHAnsi" w:cstheme="majorHAnsi"/>
        </w:rPr>
        <w:t>e</w:t>
      </w:r>
      <w:r w:rsidRPr="00D06628">
        <w:rPr>
          <w:rFonts w:asciiTheme="majorHAnsi" w:hAnsiTheme="majorHAnsi" w:cstheme="majorHAnsi"/>
          <w:spacing w:val="1"/>
        </w:rPr>
        <w:t>s</w:t>
      </w:r>
      <w:r w:rsidRPr="00D06628">
        <w:rPr>
          <w:rFonts w:asciiTheme="majorHAnsi" w:hAnsiTheme="majorHAnsi" w:cstheme="majorHAnsi"/>
        </w:rPr>
        <w:t>pon</w:t>
      </w:r>
      <w:r w:rsidRPr="00D06628">
        <w:rPr>
          <w:rFonts w:asciiTheme="majorHAnsi" w:hAnsiTheme="majorHAnsi" w:cstheme="majorHAnsi"/>
          <w:spacing w:val="1"/>
        </w:rPr>
        <w:t>si</w:t>
      </w:r>
      <w:r w:rsidRPr="00D06628">
        <w:rPr>
          <w:rFonts w:asciiTheme="majorHAnsi" w:hAnsiTheme="majorHAnsi" w:cstheme="majorHAnsi"/>
        </w:rPr>
        <w:t>b</w:t>
      </w:r>
      <w:r w:rsidRPr="00D06628">
        <w:rPr>
          <w:rFonts w:asciiTheme="majorHAnsi" w:hAnsiTheme="majorHAnsi" w:cstheme="majorHAnsi"/>
          <w:spacing w:val="1"/>
        </w:rPr>
        <w:t>i</w:t>
      </w:r>
      <w:r w:rsidRPr="00D06628">
        <w:rPr>
          <w:rFonts w:asciiTheme="majorHAnsi" w:hAnsiTheme="majorHAnsi" w:cstheme="majorHAnsi"/>
          <w:spacing w:val="-1"/>
        </w:rPr>
        <w:t>l</w:t>
      </w:r>
      <w:r w:rsidRPr="00D06628">
        <w:rPr>
          <w:rFonts w:asciiTheme="majorHAnsi" w:hAnsiTheme="majorHAnsi" w:cstheme="majorHAnsi"/>
          <w:spacing w:val="1"/>
        </w:rPr>
        <w:t>i</w:t>
      </w:r>
      <w:r w:rsidRPr="00D06628">
        <w:rPr>
          <w:rFonts w:asciiTheme="majorHAnsi" w:hAnsiTheme="majorHAnsi" w:cstheme="majorHAnsi"/>
        </w:rPr>
        <w:t>t</w:t>
      </w:r>
      <w:r w:rsidRPr="00D06628">
        <w:rPr>
          <w:rFonts w:asciiTheme="majorHAnsi" w:hAnsiTheme="majorHAnsi" w:cstheme="majorHAnsi"/>
          <w:spacing w:val="-1"/>
        </w:rPr>
        <w:t>i</w:t>
      </w:r>
      <w:r w:rsidRPr="00D06628">
        <w:rPr>
          <w:rFonts w:asciiTheme="majorHAnsi" w:hAnsiTheme="majorHAnsi" w:cstheme="majorHAnsi"/>
        </w:rPr>
        <w:t>es</w:t>
      </w:r>
      <w:r w:rsidRPr="00D06628">
        <w:rPr>
          <w:rFonts w:asciiTheme="majorHAnsi" w:hAnsiTheme="majorHAnsi" w:cstheme="majorHAnsi"/>
          <w:spacing w:val="-10"/>
        </w:rPr>
        <w:t xml:space="preserve"> </w:t>
      </w:r>
      <w:r w:rsidRPr="00D06628">
        <w:rPr>
          <w:rFonts w:asciiTheme="majorHAnsi" w:hAnsiTheme="majorHAnsi" w:cstheme="majorHAnsi"/>
        </w:rPr>
        <w:t>as</w:t>
      </w:r>
      <w:r w:rsidRPr="00D06628">
        <w:rPr>
          <w:rFonts w:asciiTheme="majorHAnsi" w:hAnsiTheme="majorHAnsi" w:cstheme="majorHAnsi"/>
          <w:spacing w:val="-1"/>
        </w:rPr>
        <w:t xml:space="preserve"> </w:t>
      </w:r>
      <w:r w:rsidRPr="00D06628">
        <w:rPr>
          <w:rFonts w:asciiTheme="majorHAnsi" w:hAnsiTheme="majorHAnsi" w:cstheme="majorHAnsi"/>
        </w:rPr>
        <w:t>an e</w:t>
      </w:r>
      <w:r w:rsidRPr="00D06628">
        <w:rPr>
          <w:rFonts w:asciiTheme="majorHAnsi" w:hAnsiTheme="majorHAnsi" w:cstheme="majorHAnsi"/>
          <w:spacing w:val="4"/>
        </w:rPr>
        <w:t>m</w:t>
      </w:r>
      <w:r w:rsidRPr="00D06628">
        <w:rPr>
          <w:rFonts w:asciiTheme="majorHAnsi" w:hAnsiTheme="majorHAnsi" w:cstheme="majorHAnsi"/>
        </w:rPr>
        <w:t>p</w:t>
      </w:r>
      <w:r w:rsidRPr="00D06628">
        <w:rPr>
          <w:rFonts w:asciiTheme="majorHAnsi" w:hAnsiTheme="majorHAnsi" w:cstheme="majorHAnsi"/>
          <w:spacing w:val="-1"/>
        </w:rPr>
        <w:t>l</w:t>
      </w:r>
      <w:r w:rsidRPr="00D06628">
        <w:rPr>
          <w:rFonts w:asciiTheme="majorHAnsi" w:hAnsiTheme="majorHAnsi" w:cstheme="majorHAnsi"/>
          <w:spacing w:val="2"/>
        </w:rPr>
        <w:t>o</w:t>
      </w:r>
      <w:r w:rsidRPr="00D06628">
        <w:rPr>
          <w:rFonts w:asciiTheme="majorHAnsi" w:hAnsiTheme="majorHAnsi" w:cstheme="majorHAnsi"/>
          <w:spacing w:val="-4"/>
        </w:rPr>
        <w:t>y</w:t>
      </w:r>
      <w:r w:rsidRPr="00D06628">
        <w:rPr>
          <w:rFonts w:asciiTheme="majorHAnsi" w:hAnsiTheme="majorHAnsi" w:cstheme="majorHAnsi"/>
        </w:rPr>
        <w:t>er</w:t>
      </w:r>
      <w:r w:rsidRPr="00D06628">
        <w:rPr>
          <w:rFonts w:asciiTheme="majorHAnsi" w:hAnsiTheme="majorHAnsi" w:cstheme="majorHAnsi"/>
          <w:spacing w:val="-8"/>
        </w:rPr>
        <w:t xml:space="preserve"> </w:t>
      </w:r>
      <w:r w:rsidRPr="00D06628">
        <w:rPr>
          <w:rFonts w:asciiTheme="majorHAnsi" w:hAnsiTheme="majorHAnsi" w:cstheme="majorHAnsi"/>
          <w:spacing w:val="2"/>
          <w:w w:val="99"/>
        </w:rPr>
        <w:t>f</w:t>
      </w:r>
      <w:r w:rsidRPr="00D06628">
        <w:rPr>
          <w:rFonts w:asciiTheme="majorHAnsi" w:hAnsiTheme="majorHAnsi" w:cstheme="majorHAnsi"/>
          <w:w w:val="99"/>
        </w:rPr>
        <w:t>or en</w:t>
      </w:r>
      <w:r w:rsidRPr="00D06628">
        <w:rPr>
          <w:rFonts w:asciiTheme="majorHAnsi" w:hAnsiTheme="majorHAnsi" w:cstheme="majorHAnsi"/>
          <w:spacing w:val="1"/>
          <w:w w:val="99"/>
        </w:rPr>
        <w:t>s</w:t>
      </w:r>
      <w:r w:rsidRPr="00D06628">
        <w:rPr>
          <w:rFonts w:asciiTheme="majorHAnsi" w:hAnsiTheme="majorHAnsi" w:cstheme="majorHAnsi"/>
          <w:w w:val="99"/>
        </w:rPr>
        <w:t>u</w:t>
      </w:r>
      <w:r w:rsidRPr="00D06628">
        <w:rPr>
          <w:rFonts w:asciiTheme="majorHAnsi" w:hAnsiTheme="majorHAnsi" w:cstheme="majorHAnsi"/>
          <w:spacing w:val="1"/>
          <w:w w:val="99"/>
        </w:rPr>
        <w:t>r</w:t>
      </w:r>
      <w:r w:rsidRPr="00D06628">
        <w:rPr>
          <w:rFonts w:asciiTheme="majorHAnsi" w:hAnsiTheme="majorHAnsi" w:cstheme="majorHAnsi"/>
          <w:spacing w:val="-1"/>
          <w:w w:val="99"/>
        </w:rPr>
        <w:t>i</w:t>
      </w:r>
      <w:r w:rsidRPr="00D06628">
        <w:rPr>
          <w:rFonts w:asciiTheme="majorHAnsi" w:hAnsiTheme="majorHAnsi" w:cstheme="majorHAnsi"/>
          <w:spacing w:val="2"/>
          <w:w w:val="99"/>
        </w:rPr>
        <w:t>n</w:t>
      </w:r>
      <w:r w:rsidRPr="00D06628">
        <w:rPr>
          <w:rFonts w:asciiTheme="majorHAnsi" w:hAnsiTheme="majorHAnsi" w:cstheme="majorHAnsi"/>
          <w:w w:val="99"/>
        </w:rPr>
        <w:t>g,</w:t>
      </w:r>
      <w:r w:rsidRPr="00D06628">
        <w:rPr>
          <w:rFonts w:asciiTheme="majorHAnsi" w:hAnsiTheme="majorHAnsi" w:cstheme="majorHAnsi"/>
          <w:spacing w:val="-1"/>
        </w:rPr>
        <w:t xml:space="preserve"> </w:t>
      </w:r>
      <w:r w:rsidRPr="00D06628">
        <w:rPr>
          <w:rFonts w:asciiTheme="majorHAnsi" w:hAnsiTheme="majorHAnsi" w:cstheme="majorHAnsi"/>
          <w:spacing w:val="1"/>
        </w:rPr>
        <w:t>s</w:t>
      </w:r>
      <w:r w:rsidRPr="00D06628">
        <w:rPr>
          <w:rFonts w:asciiTheme="majorHAnsi" w:hAnsiTheme="majorHAnsi" w:cstheme="majorHAnsi"/>
        </w:rPr>
        <w:t>o</w:t>
      </w:r>
      <w:r w:rsidRPr="00D06628">
        <w:rPr>
          <w:rFonts w:asciiTheme="majorHAnsi" w:hAnsiTheme="majorHAnsi" w:cstheme="majorHAnsi"/>
          <w:spacing w:val="-3"/>
        </w:rPr>
        <w:t xml:space="preserve"> </w:t>
      </w:r>
      <w:r w:rsidRPr="00D06628">
        <w:rPr>
          <w:rFonts w:asciiTheme="majorHAnsi" w:hAnsiTheme="majorHAnsi" w:cstheme="majorHAnsi"/>
          <w:spacing w:val="2"/>
        </w:rPr>
        <w:t>f</w:t>
      </w:r>
      <w:r w:rsidRPr="00D06628">
        <w:rPr>
          <w:rFonts w:asciiTheme="majorHAnsi" w:hAnsiTheme="majorHAnsi" w:cstheme="majorHAnsi"/>
        </w:rPr>
        <w:t>ar</w:t>
      </w:r>
      <w:r w:rsidRPr="00D06628">
        <w:rPr>
          <w:rFonts w:asciiTheme="majorHAnsi" w:hAnsiTheme="majorHAnsi" w:cstheme="majorHAnsi"/>
          <w:spacing w:val="-2"/>
        </w:rPr>
        <w:t xml:space="preserve"> </w:t>
      </w:r>
      <w:r w:rsidRPr="00D06628">
        <w:rPr>
          <w:rFonts w:asciiTheme="majorHAnsi" w:hAnsiTheme="majorHAnsi" w:cstheme="majorHAnsi"/>
        </w:rPr>
        <w:t>as</w:t>
      </w:r>
      <w:r w:rsidRPr="00D06628">
        <w:rPr>
          <w:rFonts w:asciiTheme="majorHAnsi" w:hAnsiTheme="majorHAnsi" w:cstheme="majorHAnsi"/>
          <w:spacing w:val="-1"/>
        </w:rPr>
        <w:t xml:space="preserve"> i</w:t>
      </w:r>
      <w:r w:rsidRPr="00D06628">
        <w:rPr>
          <w:rFonts w:asciiTheme="majorHAnsi" w:hAnsiTheme="majorHAnsi" w:cstheme="majorHAnsi"/>
        </w:rPr>
        <w:t xml:space="preserve">s </w:t>
      </w:r>
      <w:r w:rsidRPr="00D06628">
        <w:rPr>
          <w:rFonts w:asciiTheme="majorHAnsi" w:hAnsiTheme="majorHAnsi" w:cstheme="majorHAnsi"/>
          <w:spacing w:val="1"/>
        </w:rPr>
        <w:t>r</w:t>
      </w:r>
      <w:r w:rsidRPr="00D06628">
        <w:rPr>
          <w:rFonts w:asciiTheme="majorHAnsi" w:hAnsiTheme="majorHAnsi" w:cstheme="majorHAnsi"/>
          <w:spacing w:val="2"/>
        </w:rPr>
        <w:t>e</w:t>
      </w:r>
      <w:r w:rsidRPr="00D06628">
        <w:rPr>
          <w:rFonts w:asciiTheme="majorHAnsi" w:hAnsiTheme="majorHAnsi" w:cstheme="majorHAnsi"/>
        </w:rPr>
        <w:t>a</w:t>
      </w:r>
      <w:r w:rsidRPr="00D06628">
        <w:rPr>
          <w:rFonts w:asciiTheme="majorHAnsi" w:hAnsiTheme="majorHAnsi" w:cstheme="majorHAnsi"/>
          <w:spacing w:val="1"/>
        </w:rPr>
        <w:t>s</w:t>
      </w:r>
      <w:r w:rsidRPr="00D06628">
        <w:rPr>
          <w:rFonts w:asciiTheme="majorHAnsi" w:hAnsiTheme="majorHAnsi" w:cstheme="majorHAnsi"/>
          <w:spacing w:val="2"/>
        </w:rPr>
        <w:t>o</w:t>
      </w:r>
      <w:r w:rsidRPr="00D06628">
        <w:rPr>
          <w:rFonts w:asciiTheme="majorHAnsi" w:hAnsiTheme="majorHAnsi" w:cstheme="majorHAnsi"/>
        </w:rPr>
        <w:t>na</w:t>
      </w:r>
      <w:r w:rsidRPr="00D06628">
        <w:rPr>
          <w:rFonts w:asciiTheme="majorHAnsi" w:hAnsiTheme="majorHAnsi" w:cstheme="majorHAnsi"/>
          <w:spacing w:val="2"/>
        </w:rPr>
        <w:t>b</w:t>
      </w:r>
      <w:r w:rsidRPr="00D06628">
        <w:rPr>
          <w:rFonts w:asciiTheme="majorHAnsi" w:hAnsiTheme="majorHAnsi" w:cstheme="majorHAnsi"/>
          <w:spacing w:val="1"/>
        </w:rPr>
        <w:t>l</w:t>
      </w:r>
      <w:r w:rsidRPr="00D06628">
        <w:rPr>
          <w:rFonts w:asciiTheme="majorHAnsi" w:hAnsiTheme="majorHAnsi" w:cstheme="majorHAnsi"/>
        </w:rPr>
        <w:t>y</w:t>
      </w:r>
      <w:r w:rsidRPr="00D06628">
        <w:rPr>
          <w:rFonts w:asciiTheme="majorHAnsi" w:hAnsiTheme="majorHAnsi" w:cstheme="majorHAnsi"/>
          <w:spacing w:val="-12"/>
        </w:rPr>
        <w:t xml:space="preserve"> </w:t>
      </w:r>
      <w:r w:rsidRPr="00D06628">
        <w:rPr>
          <w:rFonts w:asciiTheme="majorHAnsi" w:hAnsiTheme="majorHAnsi" w:cstheme="majorHAnsi"/>
        </w:rPr>
        <w:t>p</w:t>
      </w:r>
      <w:r w:rsidRPr="00D06628">
        <w:rPr>
          <w:rFonts w:asciiTheme="majorHAnsi" w:hAnsiTheme="majorHAnsi" w:cstheme="majorHAnsi"/>
          <w:spacing w:val="1"/>
        </w:rPr>
        <w:t>r</w:t>
      </w:r>
      <w:r w:rsidRPr="00D06628">
        <w:rPr>
          <w:rFonts w:asciiTheme="majorHAnsi" w:hAnsiTheme="majorHAnsi" w:cstheme="majorHAnsi"/>
        </w:rPr>
        <w:t>a</w:t>
      </w:r>
      <w:r w:rsidRPr="00D06628">
        <w:rPr>
          <w:rFonts w:asciiTheme="majorHAnsi" w:hAnsiTheme="majorHAnsi" w:cstheme="majorHAnsi"/>
          <w:spacing w:val="1"/>
        </w:rPr>
        <w:t>c</w:t>
      </w:r>
      <w:r w:rsidRPr="00D06628">
        <w:rPr>
          <w:rFonts w:asciiTheme="majorHAnsi" w:hAnsiTheme="majorHAnsi" w:cstheme="majorHAnsi"/>
        </w:rPr>
        <w:t>t</w:t>
      </w:r>
      <w:r w:rsidRPr="00D06628">
        <w:rPr>
          <w:rFonts w:asciiTheme="majorHAnsi" w:hAnsiTheme="majorHAnsi" w:cstheme="majorHAnsi"/>
          <w:spacing w:val="-1"/>
        </w:rPr>
        <w:t>i</w:t>
      </w:r>
      <w:r w:rsidRPr="00D06628">
        <w:rPr>
          <w:rFonts w:asciiTheme="majorHAnsi" w:hAnsiTheme="majorHAnsi" w:cstheme="majorHAnsi"/>
          <w:spacing w:val="1"/>
        </w:rPr>
        <w:t>c</w:t>
      </w:r>
      <w:r w:rsidRPr="00D06628">
        <w:rPr>
          <w:rFonts w:asciiTheme="majorHAnsi" w:hAnsiTheme="majorHAnsi" w:cstheme="majorHAnsi"/>
          <w:spacing w:val="2"/>
        </w:rPr>
        <w:t>a</w:t>
      </w:r>
      <w:r w:rsidRPr="00D06628">
        <w:rPr>
          <w:rFonts w:asciiTheme="majorHAnsi" w:hAnsiTheme="majorHAnsi" w:cstheme="majorHAnsi"/>
        </w:rPr>
        <w:t>b</w:t>
      </w:r>
      <w:r w:rsidRPr="00D06628">
        <w:rPr>
          <w:rFonts w:asciiTheme="majorHAnsi" w:hAnsiTheme="majorHAnsi" w:cstheme="majorHAnsi"/>
          <w:spacing w:val="-1"/>
        </w:rPr>
        <w:t>l</w:t>
      </w:r>
      <w:r w:rsidRPr="00D06628">
        <w:rPr>
          <w:rFonts w:asciiTheme="majorHAnsi" w:hAnsiTheme="majorHAnsi" w:cstheme="majorHAnsi"/>
          <w:spacing w:val="2"/>
        </w:rPr>
        <w:t>e</w:t>
      </w:r>
      <w:r w:rsidRPr="00D06628">
        <w:rPr>
          <w:rFonts w:asciiTheme="majorHAnsi" w:hAnsiTheme="majorHAnsi" w:cstheme="majorHAnsi"/>
        </w:rPr>
        <w:t>,</w:t>
      </w:r>
      <w:r w:rsidRPr="00D06628">
        <w:rPr>
          <w:rFonts w:asciiTheme="majorHAnsi" w:hAnsiTheme="majorHAnsi" w:cstheme="majorHAnsi"/>
          <w:spacing w:val="-11"/>
        </w:rPr>
        <w:t xml:space="preserve"> </w:t>
      </w:r>
      <w:r w:rsidRPr="00D06628">
        <w:rPr>
          <w:rFonts w:asciiTheme="majorHAnsi" w:hAnsiTheme="majorHAnsi" w:cstheme="majorHAnsi"/>
        </w:rPr>
        <w:t>t</w:t>
      </w:r>
      <w:r w:rsidRPr="00D06628">
        <w:rPr>
          <w:rFonts w:asciiTheme="majorHAnsi" w:hAnsiTheme="majorHAnsi" w:cstheme="majorHAnsi"/>
          <w:spacing w:val="2"/>
        </w:rPr>
        <w:t>h</w:t>
      </w:r>
      <w:r w:rsidRPr="00D06628">
        <w:rPr>
          <w:rFonts w:asciiTheme="majorHAnsi" w:hAnsiTheme="majorHAnsi" w:cstheme="majorHAnsi"/>
        </w:rPr>
        <w:t>e</w:t>
      </w:r>
      <w:r w:rsidRPr="00D06628">
        <w:rPr>
          <w:rFonts w:asciiTheme="majorHAnsi" w:hAnsiTheme="majorHAnsi" w:cstheme="majorHAnsi"/>
          <w:spacing w:val="-4"/>
        </w:rPr>
        <w:t xml:space="preserve"> </w:t>
      </w:r>
      <w:r w:rsidRPr="00D06628">
        <w:rPr>
          <w:rFonts w:asciiTheme="majorHAnsi" w:hAnsiTheme="majorHAnsi" w:cstheme="majorHAnsi"/>
        </w:rPr>
        <w:t>h</w:t>
      </w:r>
      <w:r w:rsidRPr="00D06628">
        <w:rPr>
          <w:rFonts w:asciiTheme="majorHAnsi" w:hAnsiTheme="majorHAnsi" w:cstheme="majorHAnsi"/>
          <w:spacing w:val="2"/>
        </w:rPr>
        <w:t>e</w:t>
      </w:r>
      <w:r w:rsidRPr="00D06628">
        <w:rPr>
          <w:rFonts w:asciiTheme="majorHAnsi" w:hAnsiTheme="majorHAnsi" w:cstheme="majorHAnsi"/>
        </w:rPr>
        <w:t>a</w:t>
      </w:r>
      <w:r w:rsidRPr="00D06628">
        <w:rPr>
          <w:rFonts w:asciiTheme="majorHAnsi" w:hAnsiTheme="majorHAnsi" w:cstheme="majorHAnsi"/>
          <w:spacing w:val="-1"/>
        </w:rPr>
        <w:t>l</w:t>
      </w:r>
      <w:r w:rsidRPr="00D06628">
        <w:rPr>
          <w:rFonts w:asciiTheme="majorHAnsi" w:hAnsiTheme="majorHAnsi" w:cstheme="majorHAnsi"/>
          <w:spacing w:val="2"/>
        </w:rPr>
        <w:t>t</w:t>
      </w:r>
      <w:r w:rsidRPr="00D06628">
        <w:rPr>
          <w:rFonts w:asciiTheme="majorHAnsi" w:hAnsiTheme="majorHAnsi" w:cstheme="majorHAnsi"/>
        </w:rPr>
        <w:t>h,</w:t>
      </w:r>
      <w:r w:rsidRPr="00D06628">
        <w:rPr>
          <w:rFonts w:asciiTheme="majorHAnsi" w:hAnsiTheme="majorHAnsi" w:cstheme="majorHAnsi"/>
          <w:spacing w:val="-7"/>
        </w:rPr>
        <w:t xml:space="preserve"> </w:t>
      </w:r>
      <w:r w:rsidRPr="00D06628">
        <w:rPr>
          <w:rFonts w:asciiTheme="majorHAnsi" w:hAnsiTheme="majorHAnsi" w:cstheme="majorHAnsi"/>
          <w:spacing w:val="1"/>
        </w:rPr>
        <w:t>s</w:t>
      </w:r>
      <w:r w:rsidRPr="00D06628">
        <w:rPr>
          <w:rFonts w:asciiTheme="majorHAnsi" w:hAnsiTheme="majorHAnsi" w:cstheme="majorHAnsi"/>
        </w:rPr>
        <w:t>a</w:t>
      </w:r>
      <w:r w:rsidRPr="00D06628">
        <w:rPr>
          <w:rFonts w:asciiTheme="majorHAnsi" w:hAnsiTheme="majorHAnsi" w:cstheme="majorHAnsi"/>
          <w:spacing w:val="2"/>
        </w:rPr>
        <w:t>f</w:t>
      </w:r>
      <w:r w:rsidRPr="00D06628">
        <w:rPr>
          <w:rFonts w:asciiTheme="majorHAnsi" w:hAnsiTheme="majorHAnsi" w:cstheme="majorHAnsi"/>
        </w:rPr>
        <w:t>e</w:t>
      </w:r>
      <w:r w:rsidRPr="00D06628">
        <w:rPr>
          <w:rFonts w:asciiTheme="majorHAnsi" w:hAnsiTheme="majorHAnsi" w:cstheme="majorHAnsi"/>
          <w:spacing w:val="2"/>
        </w:rPr>
        <w:t>t</w:t>
      </w:r>
      <w:r w:rsidRPr="00D06628">
        <w:rPr>
          <w:rFonts w:asciiTheme="majorHAnsi" w:hAnsiTheme="majorHAnsi" w:cstheme="majorHAnsi"/>
        </w:rPr>
        <w:t>y</w:t>
      </w:r>
      <w:r w:rsidRPr="00D06628">
        <w:rPr>
          <w:rFonts w:asciiTheme="majorHAnsi" w:hAnsiTheme="majorHAnsi" w:cstheme="majorHAnsi"/>
          <w:spacing w:val="-7"/>
        </w:rPr>
        <w:t xml:space="preserve"> </w:t>
      </w:r>
      <w:r w:rsidRPr="00D06628">
        <w:rPr>
          <w:rFonts w:asciiTheme="majorHAnsi" w:hAnsiTheme="majorHAnsi" w:cstheme="majorHAnsi"/>
        </w:rPr>
        <w:t>and</w:t>
      </w:r>
      <w:r w:rsidRPr="00D06628">
        <w:rPr>
          <w:rFonts w:asciiTheme="majorHAnsi" w:hAnsiTheme="majorHAnsi" w:cstheme="majorHAnsi"/>
          <w:spacing w:val="-1"/>
        </w:rPr>
        <w:t xml:space="preserve"> </w:t>
      </w:r>
      <w:r w:rsidRPr="00D06628">
        <w:rPr>
          <w:rFonts w:asciiTheme="majorHAnsi" w:hAnsiTheme="majorHAnsi" w:cstheme="majorHAnsi"/>
        </w:rPr>
        <w:t>we</w:t>
      </w:r>
      <w:r w:rsidRPr="00D06628">
        <w:rPr>
          <w:rFonts w:asciiTheme="majorHAnsi" w:hAnsiTheme="majorHAnsi" w:cstheme="majorHAnsi"/>
          <w:spacing w:val="-1"/>
        </w:rPr>
        <w:t>l</w:t>
      </w:r>
      <w:r w:rsidRPr="00D06628">
        <w:rPr>
          <w:rFonts w:asciiTheme="majorHAnsi" w:hAnsiTheme="majorHAnsi" w:cstheme="majorHAnsi"/>
          <w:spacing w:val="2"/>
        </w:rPr>
        <w:t>f</w:t>
      </w:r>
      <w:r w:rsidRPr="00D06628">
        <w:rPr>
          <w:rFonts w:asciiTheme="majorHAnsi" w:hAnsiTheme="majorHAnsi" w:cstheme="majorHAnsi"/>
        </w:rPr>
        <w:t>a</w:t>
      </w:r>
      <w:r w:rsidRPr="00D06628">
        <w:rPr>
          <w:rFonts w:asciiTheme="majorHAnsi" w:hAnsiTheme="majorHAnsi" w:cstheme="majorHAnsi"/>
          <w:spacing w:val="1"/>
        </w:rPr>
        <w:t>r</w:t>
      </w:r>
      <w:r w:rsidRPr="00D06628">
        <w:rPr>
          <w:rFonts w:asciiTheme="majorHAnsi" w:hAnsiTheme="majorHAnsi" w:cstheme="majorHAnsi"/>
        </w:rPr>
        <w:t>e</w:t>
      </w:r>
      <w:r w:rsidRPr="00D06628">
        <w:rPr>
          <w:rFonts w:asciiTheme="majorHAnsi" w:hAnsiTheme="majorHAnsi" w:cstheme="majorHAnsi"/>
          <w:spacing w:val="-4"/>
        </w:rPr>
        <w:t xml:space="preserve"> </w:t>
      </w:r>
      <w:r w:rsidRPr="00D06628">
        <w:rPr>
          <w:rFonts w:asciiTheme="majorHAnsi" w:hAnsiTheme="majorHAnsi" w:cstheme="majorHAnsi"/>
        </w:rPr>
        <w:t xml:space="preserve">of </w:t>
      </w:r>
      <w:r w:rsidRPr="00D06628">
        <w:rPr>
          <w:rFonts w:asciiTheme="majorHAnsi" w:hAnsiTheme="majorHAnsi" w:cstheme="majorHAnsi"/>
          <w:spacing w:val="-1"/>
        </w:rPr>
        <w:t>i</w:t>
      </w:r>
      <w:r w:rsidRPr="00D06628">
        <w:rPr>
          <w:rFonts w:asciiTheme="majorHAnsi" w:hAnsiTheme="majorHAnsi" w:cstheme="majorHAnsi"/>
        </w:rPr>
        <w:t>ts</w:t>
      </w:r>
      <w:r w:rsidRPr="00D06628">
        <w:rPr>
          <w:rFonts w:asciiTheme="majorHAnsi" w:hAnsiTheme="majorHAnsi" w:cstheme="majorHAnsi"/>
          <w:spacing w:val="-1"/>
        </w:rPr>
        <w:t xml:space="preserve"> </w:t>
      </w:r>
      <w:r w:rsidRPr="00D06628">
        <w:rPr>
          <w:rFonts w:asciiTheme="majorHAnsi" w:hAnsiTheme="majorHAnsi" w:cstheme="majorHAnsi"/>
        </w:rPr>
        <w:t>e</w:t>
      </w:r>
      <w:r w:rsidRPr="00D06628">
        <w:rPr>
          <w:rFonts w:asciiTheme="majorHAnsi" w:hAnsiTheme="majorHAnsi" w:cstheme="majorHAnsi"/>
          <w:spacing w:val="4"/>
        </w:rPr>
        <w:t>m</w:t>
      </w:r>
      <w:r w:rsidRPr="00D06628">
        <w:rPr>
          <w:rFonts w:asciiTheme="majorHAnsi" w:hAnsiTheme="majorHAnsi" w:cstheme="majorHAnsi"/>
        </w:rPr>
        <w:t>p</w:t>
      </w:r>
      <w:r w:rsidRPr="00D06628">
        <w:rPr>
          <w:rFonts w:asciiTheme="majorHAnsi" w:hAnsiTheme="majorHAnsi" w:cstheme="majorHAnsi"/>
          <w:spacing w:val="-1"/>
        </w:rPr>
        <w:t>l</w:t>
      </w:r>
      <w:r w:rsidRPr="00D06628">
        <w:rPr>
          <w:rFonts w:asciiTheme="majorHAnsi" w:hAnsiTheme="majorHAnsi" w:cstheme="majorHAnsi"/>
          <w:spacing w:val="2"/>
        </w:rPr>
        <w:t>o</w:t>
      </w:r>
      <w:r w:rsidRPr="00D06628">
        <w:rPr>
          <w:rFonts w:asciiTheme="majorHAnsi" w:hAnsiTheme="majorHAnsi" w:cstheme="majorHAnsi"/>
          <w:spacing w:val="-4"/>
        </w:rPr>
        <w:t>y</w:t>
      </w:r>
      <w:r w:rsidRPr="00D06628">
        <w:rPr>
          <w:rFonts w:asciiTheme="majorHAnsi" w:hAnsiTheme="majorHAnsi" w:cstheme="majorHAnsi"/>
        </w:rPr>
        <w:t>ees</w:t>
      </w:r>
      <w:r w:rsidRPr="00D06628">
        <w:rPr>
          <w:rFonts w:asciiTheme="majorHAnsi" w:hAnsiTheme="majorHAnsi" w:cstheme="majorHAnsi"/>
          <w:spacing w:val="-7"/>
        </w:rPr>
        <w:t xml:space="preserve"> </w:t>
      </w:r>
      <w:r w:rsidRPr="00D06628">
        <w:rPr>
          <w:rFonts w:asciiTheme="majorHAnsi" w:hAnsiTheme="majorHAnsi" w:cstheme="majorHAnsi"/>
        </w:rPr>
        <w:t>and</w:t>
      </w:r>
      <w:r w:rsidRPr="00D06628">
        <w:rPr>
          <w:rFonts w:asciiTheme="majorHAnsi" w:hAnsiTheme="majorHAnsi" w:cstheme="majorHAnsi"/>
          <w:spacing w:val="-1"/>
        </w:rPr>
        <w:t xml:space="preserve"> </w:t>
      </w:r>
      <w:r w:rsidRPr="00D06628">
        <w:rPr>
          <w:rFonts w:asciiTheme="majorHAnsi" w:hAnsiTheme="majorHAnsi" w:cstheme="majorHAnsi"/>
        </w:rPr>
        <w:t>ot</w:t>
      </w:r>
      <w:r w:rsidRPr="00D06628">
        <w:rPr>
          <w:rFonts w:asciiTheme="majorHAnsi" w:hAnsiTheme="majorHAnsi" w:cstheme="majorHAnsi"/>
          <w:spacing w:val="2"/>
        </w:rPr>
        <w:t>h</w:t>
      </w:r>
      <w:r w:rsidRPr="00D06628">
        <w:rPr>
          <w:rFonts w:asciiTheme="majorHAnsi" w:hAnsiTheme="majorHAnsi" w:cstheme="majorHAnsi"/>
        </w:rPr>
        <w:t>er pe</w:t>
      </w:r>
      <w:r w:rsidRPr="00D06628">
        <w:rPr>
          <w:rFonts w:asciiTheme="majorHAnsi" w:hAnsiTheme="majorHAnsi" w:cstheme="majorHAnsi"/>
          <w:spacing w:val="1"/>
        </w:rPr>
        <w:t>rs</w:t>
      </w:r>
      <w:r w:rsidRPr="00D06628">
        <w:rPr>
          <w:rFonts w:asciiTheme="majorHAnsi" w:hAnsiTheme="majorHAnsi" w:cstheme="majorHAnsi"/>
        </w:rPr>
        <w:t>ons</w:t>
      </w:r>
      <w:r w:rsidRPr="00D06628">
        <w:rPr>
          <w:rFonts w:asciiTheme="majorHAnsi" w:hAnsiTheme="majorHAnsi" w:cstheme="majorHAnsi"/>
          <w:spacing w:val="-4"/>
        </w:rPr>
        <w:t xml:space="preserve"> </w:t>
      </w:r>
      <w:r w:rsidRPr="00D06628">
        <w:rPr>
          <w:rFonts w:asciiTheme="majorHAnsi" w:hAnsiTheme="majorHAnsi" w:cstheme="majorHAnsi"/>
          <w:spacing w:val="-2"/>
        </w:rPr>
        <w:t>w</w:t>
      </w:r>
      <w:r w:rsidRPr="00D06628">
        <w:rPr>
          <w:rFonts w:asciiTheme="majorHAnsi" w:hAnsiTheme="majorHAnsi" w:cstheme="majorHAnsi"/>
          <w:spacing w:val="2"/>
        </w:rPr>
        <w:t>h</w:t>
      </w:r>
      <w:r w:rsidRPr="00D06628">
        <w:rPr>
          <w:rFonts w:asciiTheme="majorHAnsi" w:hAnsiTheme="majorHAnsi" w:cstheme="majorHAnsi"/>
        </w:rPr>
        <w:t>o</w:t>
      </w:r>
      <w:r w:rsidRPr="00D06628">
        <w:rPr>
          <w:rFonts w:asciiTheme="majorHAnsi" w:hAnsiTheme="majorHAnsi" w:cstheme="majorHAnsi"/>
          <w:spacing w:val="-5"/>
        </w:rPr>
        <w:t xml:space="preserve"> </w:t>
      </w:r>
      <w:r w:rsidRPr="00D06628">
        <w:rPr>
          <w:rFonts w:asciiTheme="majorHAnsi" w:hAnsiTheme="majorHAnsi" w:cstheme="majorHAnsi"/>
          <w:spacing w:val="4"/>
        </w:rPr>
        <w:t>m</w:t>
      </w:r>
      <w:r w:rsidRPr="00D06628">
        <w:rPr>
          <w:rFonts w:asciiTheme="majorHAnsi" w:hAnsiTheme="majorHAnsi" w:cstheme="majorHAnsi"/>
          <w:spacing w:val="2"/>
        </w:rPr>
        <w:t>a</w:t>
      </w:r>
      <w:r w:rsidRPr="00D06628">
        <w:rPr>
          <w:rFonts w:asciiTheme="majorHAnsi" w:hAnsiTheme="majorHAnsi" w:cstheme="majorHAnsi"/>
        </w:rPr>
        <w:t>y</w:t>
      </w:r>
      <w:r w:rsidRPr="00D06628">
        <w:rPr>
          <w:rFonts w:asciiTheme="majorHAnsi" w:hAnsiTheme="majorHAnsi" w:cstheme="majorHAnsi"/>
          <w:spacing w:val="-8"/>
        </w:rPr>
        <w:t xml:space="preserve"> </w:t>
      </w:r>
      <w:r w:rsidRPr="00D06628">
        <w:rPr>
          <w:rFonts w:asciiTheme="majorHAnsi" w:hAnsiTheme="majorHAnsi" w:cstheme="majorHAnsi"/>
        </w:rPr>
        <w:t>be</w:t>
      </w:r>
      <w:r w:rsidRPr="00D06628">
        <w:rPr>
          <w:rFonts w:asciiTheme="majorHAnsi" w:hAnsiTheme="majorHAnsi" w:cstheme="majorHAnsi"/>
          <w:spacing w:val="-3"/>
        </w:rPr>
        <w:t xml:space="preserve"> </w:t>
      </w:r>
      <w:r w:rsidRPr="00D06628">
        <w:rPr>
          <w:rFonts w:asciiTheme="majorHAnsi" w:hAnsiTheme="majorHAnsi" w:cstheme="majorHAnsi"/>
        </w:rPr>
        <w:t>a</w:t>
      </w:r>
      <w:r w:rsidRPr="00D06628">
        <w:rPr>
          <w:rFonts w:asciiTheme="majorHAnsi" w:hAnsiTheme="majorHAnsi" w:cstheme="majorHAnsi"/>
          <w:spacing w:val="2"/>
        </w:rPr>
        <w:t>ff</w:t>
      </w:r>
      <w:r w:rsidRPr="00D06628">
        <w:rPr>
          <w:rFonts w:asciiTheme="majorHAnsi" w:hAnsiTheme="majorHAnsi" w:cstheme="majorHAnsi"/>
        </w:rPr>
        <w:t>e</w:t>
      </w:r>
      <w:r w:rsidRPr="00D06628">
        <w:rPr>
          <w:rFonts w:asciiTheme="majorHAnsi" w:hAnsiTheme="majorHAnsi" w:cstheme="majorHAnsi"/>
          <w:spacing w:val="1"/>
        </w:rPr>
        <w:t>c</w:t>
      </w:r>
      <w:r w:rsidRPr="00D06628">
        <w:rPr>
          <w:rFonts w:asciiTheme="majorHAnsi" w:hAnsiTheme="majorHAnsi" w:cstheme="majorHAnsi"/>
        </w:rPr>
        <w:t>ted</w:t>
      </w:r>
      <w:r w:rsidRPr="00D06628">
        <w:rPr>
          <w:rFonts w:asciiTheme="majorHAnsi" w:hAnsiTheme="majorHAnsi" w:cstheme="majorHAnsi"/>
          <w:spacing w:val="-8"/>
        </w:rPr>
        <w:t xml:space="preserve"> </w:t>
      </w:r>
      <w:r w:rsidRPr="00D06628">
        <w:rPr>
          <w:rFonts w:asciiTheme="majorHAnsi" w:hAnsiTheme="majorHAnsi" w:cstheme="majorHAnsi"/>
          <w:spacing w:val="5"/>
        </w:rPr>
        <w:t>b</w:t>
      </w:r>
      <w:r w:rsidRPr="00D06628">
        <w:rPr>
          <w:rFonts w:asciiTheme="majorHAnsi" w:hAnsiTheme="majorHAnsi" w:cstheme="majorHAnsi"/>
        </w:rPr>
        <w:t>y</w:t>
      </w:r>
      <w:r w:rsidRPr="00D06628">
        <w:rPr>
          <w:rFonts w:asciiTheme="majorHAnsi" w:hAnsiTheme="majorHAnsi" w:cstheme="majorHAnsi"/>
          <w:spacing w:val="-6"/>
        </w:rPr>
        <w:t xml:space="preserve"> </w:t>
      </w:r>
      <w:r w:rsidRPr="00D06628">
        <w:rPr>
          <w:rFonts w:asciiTheme="majorHAnsi" w:hAnsiTheme="majorHAnsi" w:cstheme="majorHAnsi"/>
        </w:rPr>
        <w:t>a</w:t>
      </w:r>
      <w:r w:rsidRPr="00D06628">
        <w:rPr>
          <w:rFonts w:asciiTheme="majorHAnsi" w:hAnsiTheme="majorHAnsi" w:cstheme="majorHAnsi"/>
          <w:spacing w:val="1"/>
        </w:rPr>
        <w:t>c</w:t>
      </w:r>
      <w:r w:rsidRPr="00D06628">
        <w:rPr>
          <w:rFonts w:asciiTheme="majorHAnsi" w:hAnsiTheme="majorHAnsi" w:cstheme="majorHAnsi"/>
          <w:spacing w:val="2"/>
        </w:rPr>
        <w:t>t</w:t>
      </w:r>
      <w:r w:rsidRPr="00D06628">
        <w:rPr>
          <w:rFonts w:asciiTheme="majorHAnsi" w:hAnsiTheme="majorHAnsi" w:cstheme="majorHAnsi"/>
          <w:spacing w:val="-1"/>
        </w:rPr>
        <w:t>i</w:t>
      </w:r>
      <w:r w:rsidRPr="00D06628">
        <w:rPr>
          <w:rFonts w:asciiTheme="majorHAnsi" w:hAnsiTheme="majorHAnsi" w:cstheme="majorHAnsi"/>
          <w:spacing w:val="1"/>
        </w:rPr>
        <w:t>v</w:t>
      </w:r>
      <w:r w:rsidRPr="00D06628">
        <w:rPr>
          <w:rFonts w:asciiTheme="majorHAnsi" w:hAnsiTheme="majorHAnsi" w:cstheme="majorHAnsi"/>
          <w:spacing w:val="-1"/>
        </w:rPr>
        <w:t>i</w:t>
      </w:r>
      <w:r w:rsidRPr="00D06628">
        <w:rPr>
          <w:rFonts w:asciiTheme="majorHAnsi" w:hAnsiTheme="majorHAnsi" w:cstheme="majorHAnsi"/>
          <w:spacing w:val="2"/>
        </w:rPr>
        <w:t>t</w:t>
      </w:r>
      <w:r w:rsidRPr="00D06628">
        <w:rPr>
          <w:rFonts w:asciiTheme="majorHAnsi" w:hAnsiTheme="majorHAnsi" w:cstheme="majorHAnsi"/>
          <w:spacing w:val="-1"/>
        </w:rPr>
        <w:t>i</w:t>
      </w:r>
      <w:r w:rsidRPr="00D06628">
        <w:rPr>
          <w:rFonts w:asciiTheme="majorHAnsi" w:hAnsiTheme="majorHAnsi" w:cstheme="majorHAnsi"/>
        </w:rPr>
        <w:t>es</w:t>
      </w:r>
      <w:r w:rsidRPr="00D06628">
        <w:rPr>
          <w:rFonts w:asciiTheme="majorHAnsi" w:hAnsiTheme="majorHAnsi" w:cstheme="majorHAnsi"/>
          <w:spacing w:val="-7"/>
        </w:rPr>
        <w:t xml:space="preserve"> </w:t>
      </w:r>
      <w:r w:rsidRPr="00D06628">
        <w:rPr>
          <w:rFonts w:asciiTheme="majorHAnsi" w:hAnsiTheme="majorHAnsi" w:cstheme="majorHAnsi"/>
        </w:rPr>
        <w:t>u</w:t>
      </w:r>
      <w:r w:rsidRPr="00D06628">
        <w:rPr>
          <w:rFonts w:asciiTheme="majorHAnsi" w:hAnsiTheme="majorHAnsi" w:cstheme="majorHAnsi"/>
          <w:spacing w:val="2"/>
        </w:rPr>
        <w:t>n</w:t>
      </w:r>
      <w:r w:rsidRPr="00D06628">
        <w:rPr>
          <w:rFonts w:asciiTheme="majorHAnsi" w:hAnsiTheme="majorHAnsi" w:cstheme="majorHAnsi"/>
        </w:rPr>
        <w:t>der</w:t>
      </w:r>
      <w:r w:rsidRPr="00D06628">
        <w:rPr>
          <w:rFonts w:asciiTheme="majorHAnsi" w:hAnsiTheme="majorHAnsi" w:cstheme="majorHAnsi"/>
          <w:spacing w:val="-5"/>
        </w:rPr>
        <w:t xml:space="preserve"> </w:t>
      </w:r>
      <w:r w:rsidRPr="00D06628">
        <w:rPr>
          <w:rFonts w:asciiTheme="majorHAnsi" w:hAnsiTheme="majorHAnsi" w:cstheme="majorHAnsi"/>
          <w:spacing w:val="2"/>
        </w:rPr>
        <w:t>t</w:t>
      </w:r>
      <w:r w:rsidRPr="00D06628">
        <w:rPr>
          <w:rFonts w:asciiTheme="majorHAnsi" w:hAnsiTheme="majorHAnsi" w:cstheme="majorHAnsi"/>
        </w:rPr>
        <w:t>he</w:t>
      </w:r>
      <w:r w:rsidRPr="00D06628">
        <w:rPr>
          <w:rFonts w:asciiTheme="majorHAnsi" w:hAnsiTheme="majorHAnsi" w:cstheme="majorHAnsi"/>
          <w:spacing w:val="-4"/>
        </w:rPr>
        <w:t xml:space="preserve"> </w:t>
      </w:r>
      <w:r w:rsidRPr="00D06628">
        <w:rPr>
          <w:rFonts w:asciiTheme="majorHAnsi" w:hAnsiTheme="majorHAnsi" w:cstheme="majorHAnsi"/>
          <w:spacing w:val="2"/>
        </w:rPr>
        <w:t>In</w:t>
      </w:r>
      <w:r w:rsidRPr="00D06628">
        <w:rPr>
          <w:rFonts w:asciiTheme="majorHAnsi" w:hAnsiTheme="majorHAnsi" w:cstheme="majorHAnsi"/>
          <w:spacing w:val="1"/>
        </w:rPr>
        <w:t>s</w:t>
      </w:r>
      <w:r w:rsidRPr="00D06628">
        <w:rPr>
          <w:rFonts w:asciiTheme="majorHAnsi" w:hAnsiTheme="majorHAnsi" w:cstheme="majorHAnsi"/>
        </w:rPr>
        <w:t>t</w:t>
      </w:r>
      <w:r w:rsidRPr="00D06628">
        <w:rPr>
          <w:rFonts w:asciiTheme="majorHAnsi" w:hAnsiTheme="majorHAnsi" w:cstheme="majorHAnsi"/>
          <w:spacing w:val="-1"/>
        </w:rPr>
        <w:t>i</w:t>
      </w:r>
      <w:r w:rsidRPr="00D06628">
        <w:rPr>
          <w:rFonts w:asciiTheme="majorHAnsi" w:hAnsiTheme="majorHAnsi" w:cstheme="majorHAnsi"/>
        </w:rPr>
        <w:t>tute's</w:t>
      </w:r>
      <w:r w:rsidRPr="00D06628">
        <w:rPr>
          <w:rFonts w:asciiTheme="majorHAnsi" w:hAnsiTheme="majorHAnsi" w:cstheme="majorHAnsi"/>
          <w:spacing w:val="-7"/>
        </w:rPr>
        <w:t xml:space="preserve"> </w:t>
      </w:r>
      <w:r w:rsidRPr="00D06628">
        <w:rPr>
          <w:rFonts w:asciiTheme="majorHAnsi" w:hAnsiTheme="majorHAnsi" w:cstheme="majorHAnsi"/>
          <w:spacing w:val="1"/>
        </w:rPr>
        <w:t>c</w:t>
      </w:r>
      <w:r w:rsidRPr="00D06628">
        <w:rPr>
          <w:rFonts w:asciiTheme="majorHAnsi" w:hAnsiTheme="majorHAnsi" w:cstheme="majorHAnsi"/>
        </w:rPr>
        <w:t>o</w:t>
      </w:r>
      <w:r w:rsidRPr="00D06628">
        <w:rPr>
          <w:rFonts w:asciiTheme="majorHAnsi" w:hAnsiTheme="majorHAnsi" w:cstheme="majorHAnsi"/>
          <w:spacing w:val="2"/>
        </w:rPr>
        <w:t>n</w:t>
      </w:r>
      <w:r w:rsidRPr="00D06628">
        <w:rPr>
          <w:rFonts w:asciiTheme="majorHAnsi" w:hAnsiTheme="majorHAnsi" w:cstheme="majorHAnsi"/>
        </w:rPr>
        <w:t>t</w:t>
      </w:r>
      <w:r w:rsidRPr="00D06628">
        <w:rPr>
          <w:rFonts w:asciiTheme="majorHAnsi" w:hAnsiTheme="majorHAnsi" w:cstheme="majorHAnsi"/>
          <w:spacing w:val="1"/>
        </w:rPr>
        <w:t>r</w:t>
      </w:r>
      <w:r w:rsidRPr="00D06628">
        <w:rPr>
          <w:rFonts w:asciiTheme="majorHAnsi" w:hAnsiTheme="majorHAnsi" w:cstheme="majorHAnsi"/>
        </w:rPr>
        <w:t>ol.</w:t>
      </w:r>
      <w:r w:rsidRPr="00D06628">
        <w:rPr>
          <w:rFonts w:asciiTheme="majorHAnsi" w:hAnsiTheme="majorHAnsi" w:cstheme="majorHAnsi"/>
          <w:spacing w:val="-5"/>
        </w:rPr>
        <w:t xml:space="preserve"> </w:t>
      </w:r>
      <w:r w:rsidRPr="00D06628">
        <w:rPr>
          <w:rFonts w:asciiTheme="majorHAnsi" w:hAnsiTheme="majorHAnsi" w:cstheme="majorHAnsi"/>
        </w:rPr>
        <w:t>It</w:t>
      </w:r>
      <w:r w:rsidRPr="00D06628">
        <w:rPr>
          <w:rFonts w:asciiTheme="majorHAnsi" w:hAnsiTheme="majorHAnsi" w:cstheme="majorHAnsi"/>
          <w:spacing w:val="1"/>
        </w:rPr>
        <w:t xml:space="preserve"> </w:t>
      </w:r>
      <w:r w:rsidRPr="00D06628">
        <w:rPr>
          <w:rFonts w:asciiTheme="majorHAnsi" w:hAnsiTheme="majorHAnsi" w:cstheme="majorHAnsi"/>
        </w:rPr>
        <w:t>w</w:t>
      </w:r>
      <w:r w:rsidRPr="00D06628">
        <w:rPr>
          <w:rFonts w:asciiTheme="majorHAnsi" w:hAnsiTheme="majorHAnsi" w:cstheme="majorHAnsi"/>
          <w:spacing w:val="-1"/>
        </w:rPr>
        <w:t>i</w:t>
      </w:r>
      <w:r w:rsidRPr="00D06628">
        <w:rPr>
          <w:rFonts w:asciiTheme="majorHAnsi" w:hAnsiTheme="majorHAnsi" w:cstheme="majorHAnsi"/>
          <w:spacing w:val="1"/>
        </w:rPr>
        <w:t>l</w:t>
      </w:r>
      <w:r w:rsidRPr="00D06628">
        <w:rPr>
          <w:rFonts w:asciiTheme="majorHAnsi" w:hAnsiTheme="majorHAnsi" w:cstheme="majorHAnsi"/>
        </w:rPr>
        <w:t>l</w:t>
      </w:r>
      <w:r w:rsidRPr="00D06628">
        <w:rPr>
          <w:rFonts w:asciiTheme="majorHAnsi" w:hAnsiTheme="majorHAnsi" w:cstheme="majorHAnsi"/>
          <w:spacing w:val="-4"/>
        </w:rPr>
        <w:t xml:space="preserve"> </w:t>
      </w:r>
      <w:r w:rsidRPr="00D06628">
        <w:rPr>
          <w:rFonts w:asciiTheme="majorHAnsi" w:hAnsiTheme="majorHAnsi" w:cstheme="majorHAnsi"/>
        </w:rPr>
        <w:t>ta</w:t>
      </w:r>
      <w:r w:rsidRPr="00D06628">
        <w:rPr>
          <w:rFonts w:asciiTheme="majorHAnsi" w:hAnsiTheme="majorHAnsi" w:cstheme="majorHAnsi"/>
          <w:spacing w:val="4"/>
        </w:rPr>
        <w:t>k</w:t>
      </w:r>
      <w:r w:rsidRPr="00D06628">
        <w:rPr>
          <w:rFonts w:asciiTheme="majorHAnsi" w:hAnsiTheme="majorHAnsi" w:cstheme="majorHAnsi"/>
        </w:rPr>
        <w:t>e</w:t>
      </w:r>
      <w:r w:rsidRPr="00D06628">
        <w:rPr>
          <w:rFonts w:asciiTheme="majorHAnsi" w:hAnsiTheme="majorHAnsi" w:cstheme="majorHAnsi"/>
          <w:spacing w:val="-2"/>
        </w:rPr>
        <w:t xml:space="preserve"> </w:t>
      </w:r>
      <w:r w:rsidRPr="00D06628">
        <w:rPr>
          <w:rFonts w:asciiTheme="majorHAnsi" w:hAnsiTheme="majorHAnsi" w:cstheme="majorHAnsi"/>
          <w:spacing w:val="1"/>
        </w:rPr>
        <w:t>s</w:t>
      </w:r>
      <w:r w:rsidRPr="00D06628">
        <w:rPr>
          <w:rFonts w:asciiTheme="majorHAnsi" w:hAnsiTheme="majorHAnsi" w:cstheme="majorHAnsi"/>
        </w:rPr>
        <w:t>teps</w:t>
      </w:r>
      <w:r w:rsidRPr="00D06628">
        <w:rPr>
          <w:rFonts w:asciiTheme="majorHAnsi" w:hAnsiTheme="majorHAnsi" w:cstheme="majorHAnsi"/>
          <w:spacing w:val="-4"/>
        </w:rPr>
        <w:t xml:space="preserve"> </w:t>
      </w:r>
      <w:r w:rsidRPr="00D06628">
        <w:rPr>
          <w:rFonts w:asciiTheme="majorHAnsi" w:hAnsiTheme="majorHAnsi" w:cstheme="majorHAnsi"/>
        </w:rPr>
        <w:t>to</w:t>
      </w:r>
      <w:r w:rsidRPr="00D06628">
        <w:rPr>
          <w:rFonts w:asciiTheme="majorHAnsi" w:hAnsiTheme="majorHAnsi" w:cstheme="majorHAnsi"/>
          <w:spacing w:val="-3"/>
        </w:rPr>
        <w:t xml:space="preserve"> </w:t>
      </w:r>
      <w:r w:rsidRPr="00D06628">
        <w:rPr>
          <w:rFonts w:asciiTheme="majorHAnsi" w:hAnsiTheme="majorHAnsi" w:cstheme="majorHAnsi"/>
          <w:spacing w:val="2"/>
        </w:rPr>
        <w:t>e</w:t>
      </w:r>
      <w:r w:rsidRPr="00D06628">
        <w:rPr>
          <w:rFonts w:asciiTheme="majorHAnsi" w:hAnsiTheme="majorHAnsi" w:cstheme="majorHAnsi"/>
        </w:rPr>
        <w:t>n</w:t>
      </w:r>
      <w:r w:rsidRPr="00D06628">
        <w:rPr>
          <w:rFonts w:asciiTheme="majorHAnsi" w:hAnsiTheme="majorHAnsi" w:cstheme="majorHAnsi"/>
          <w:spacing w:val="1"/>
        </w:rPr>
        <w:t>s</w:t>
      </w:r>
      <w:r w:rsidRPr="00D06628">
        <w:rPr>
          <w:rFonts w:asciiTheme="majorHAnsi" w:hAnsiTheme="majorHAnsi" w:cstheme="majorHAnsi"/>
        </w:rPr>
        <w:t>u</w:t>
      </w:r>
      <w:r w:rsidRPr="00D06628">
        <w:rPr>
          <w:rFonts w:asciiTheme="majorHAnsi" w:hAnsiTheme="majorHAnsi" w:cstheme="majorHAnsi"/>
          <w:spacing w:val="1"/>
        </w:rPr>
        <w:t>r</w:t>
      </w:r>
      <w:r w:rsidRPr="00D06628">
        <w:rPr>
          <w:rFonts w:asciiTheme="majorHAnsi" w:hAnsiTheme="majorHAnsi" w:cstheme="majorHAnsi"/>
        </w:rPr>
        <w:t>e</w:t>
      </w:r>
      <w:r w:rsidRPr="00D06628">
        <w:rPr>
          <w:rFonts w:asciiTheme="majorHAnsi" w:hAnsiTheme="majorHAnsi" w:cstheme="majorHAnsi"/>
          <w:spacing w:val="-7"/>
        </w:rPr>
        <w:t xml:space="preserve"> </w:t>
      </w:r>
      <w:r w:rsidRPr="00D06628">
        <w:rPr>
          <w:rFonts w:asciiTheme="majorHAnsi" w:hAnsiTheme="majorHAnsi" w:cstheme="majorHAnsi"/>
        </w:rPr>
        <w:t>t</w:t>
      </w:r>
      <w:r w:rsidRPr="00D06628">
        <w:rPr>
          <w:rFonts w:asciiTheme="majorHAnsi" w:hAnsiTheme="majorHAnsi" w:cstheme="majorHAnsi"/>
          <w:spacing w:val="2"/>
        </w:rPr>
        <w:t>h</w:t>
      </w:r>
      <w:r w:rsidRPr="00D06628">
        <w:rPr>
          <w:rFonts w:asciiTheme="majorHAnsi" w:hAnsiTheme="majorHAnsi" w:cstheme="majorHAnsi"/>
        </w:rPr>
        <w:t xml:space="preserve">at </w:t>
      </w:r>
      <w:r w:rsidRPr="00D06628">
        <w:rPr>
          <w:rFonts w:asciiTheme="majorHAnsi" w:hAnsiTheme="majorHAnsi" w:cstheme="majorHAnsi"/>
          <w:spacing w:val="-1"/>
        </w:rPr>
        <w:t>i</w:t>
      </w:r>
      <w:r w:rsidRPr="00D06628">
        <w:rPr>
          <w:rFonts w:asciiTheme="majorHAnsi" w:hAnsiTheme="majorHAnsi" w:cstheme="majorHAnsi"/>
        </w:rPr>
        <w:t>ts</w:t>
      </w:r>
      <w:r w:rsidRPr="00D06628">
        <w:rPr>
          <w:rFonts w:asciiTheme="majorHAnsi" w:hAnsiTheme="majorHAnsi" w:cstheme="majorHAnsi"/>
          <w:spacing w:val="-1"/>
        </w:rPr>
        <w:t xml:space="preserve"> </w:t>
      </w:r>
      <w:r w:rsidRPr="00D06628">
        <w:rPr>
          <w:rFonts w:asciiTheme="majorHAnsi" w:hAnsiTheme="majorHAnsi" w:cstheme="majorHAnsi"/>
          <w:spacing w:val="1"/>
        </w:rPr>
        <w:t>s</w:t>
      </w:r>
      <w:r w:rsidRPr="00D06628">
        <w:rPr>
          <w:rFonts w:asciiTheme="majorHAnsi" w:hAnsiTheme="majorHAnsi" w:cstheme="majorHAnsi"/>
        </w:rPr>
        <w:t>tatu</w:t>
      </w:r>
      <w:r w:rsidRPr="00D06628">
        <w:rPr>
          <w:rFonts w:asciiTheme="majorHAnsi" w:hAnsiTheme="majorHAnsi" w:cstheme="majorHAnsi"/>
          <w:spacing w:val="2"/>
        </w:rPr>
        <w:t>t</w:t>
      </w:r>
      <w:r w:rsidRPr="00D06628">
        <w:rPr>
          <w:rFonts w:asciiTheme="majorHAnsi" w:hAnsiTheme="majorHAnsi" w:cstheme="majorHAnsi"/>
        </w:rPr>
        <w:t>o</w:t>
      </w:r>
      <w:r w:rsidRPr="00D06628">
        <w:rPr>
          <w:rFonts w:asciiTheme="majorHAnsi" w:hAnsiTheme="majorHAnsi" w:cstheme="majorHAnsi"/>
          <w:spacing w:val="3"/>
        </w:rPr>
        <w:t>r</w:t>
      </w:r>
      <w:r w:rsidRPr="00D06628">
        <w:rPr>
          <w:rFonts w:asciiTheme="majorHAnsi" w:hAnsiTheme="majorHAnsi" w:cstheme="majorHAnsi"/>
        </w:rPr>
        <w:t>y</w:t>
      </w:r>
      <w:r w:rsidRPr="00D06628">
        <w:rPr>
          <w:rFonts w:asciiTheme="majorHAnsi" w:hAnsiTheme="majorHAnsi" w:cstheme="majorHAnsi"/>
          <w:spacing w:val="-10"/>
        </w:rPr>
        <w:t xml:space="preserve"> </w:t>
      </w:r>
      <w:r w:rsidRPr="00D06628">
        <w:rPr>
          <w:rFonts w:asciiTheme="majorHAnsi" w:hAnsiTheme="majorHAnsi" w:cstheme="majorHAnsi"/>
        </w:rPr>
        <w:t>du</w:t>
      </w:r>
      <w:r w:rsidRPr="00D06628">
        <w:rPr>
          <w:rFonts w:asciiTheme="majorHAnsi" w:hAnsiTheme="majorHAnsi" w:cstheme="majorHAnsi"/>
          <w:spacing w:val="2"/>
        </w:rPr>
        <w:t>t</w:t>
      </w:r>
      <w:r w:rsidRPr="00D06628">
        <w:rPr>
          <w:rFonts w:asciiTheme="majorHAnsi" w:hAnsiTheme="majorHAnsi" w:cstheme="majorHAnsi"/>
          <w:spacing w:val="-1"/>
        </w:rPr>
        <w:t>i</w:t>
      </w:r>
      <w:r w:rsidRPr="00D06628">
        <w:rPr>
          <w:rFonts w:asciiTheme="majorHAnsi" w:hAnsiTheme="majorHAnsi" w:cstheme="majorHAnsi"/>
        </w:rPr>
        <w:t>es</w:t>
      </w:r>
      <w:r w:rsidRPr="00D06628">
        <w:rPr>
          <w:rFonts w:asciiTheme="majorHAnsi" w:hAnsiTheme="majorHAnsi" w:cstheme="majorHAnsi"/>
          <w:spacing w:val="-4"/>
        </w:rPr>
        <w:t xml:space="preserve"> </w:t>
      </w:r>
      <w:r w:rsidRPr="00D06628">
        <w:rPr>
          <w:rFonts w:asciiTheme="majorHAnsi" w:hAnsiTheme="majorHAnsi" w:cstheme="majorHAnsi"/>
        </w:rPr>
        <w:t>a</w:t>
      </w:r>
      <w:r w:rsidRPr="00D06628">
        <w:rPr>
          <w:rFonts w:asciiTheme="majorHAnsi" w:hAnsiTheme="majorHAnsi" w:cstheme="majorHAnsi"/>
          <w:spacing w:val="1"/>
        </w:rPr>
        <w:t>r</w:t>
      </w:r>
      <w:r w:rsidRPr="00D06628">
        <w:rPr>
          <w:rFonts w:asciiTheme="majorHAnsi" w:hAnsiTheme="majorHAnsi" w:cstheme="majorHAnsi"/>
        </w:rPr>
        <w:t>e</w:t>
      </w:r>
      <w:r w:rsidRPr="00D06628">
        <w:rPr>
          <w:rFonts w:asciiTheme="majorHAnsi" w:hAnsiTheme="majorHAnsi" w:cstheme="majorHAnsi"/>
          <w:spacing w:val="-4"/>
        </w:rPr>
        <w:t xml:space="preserve"> </w:t>
      </w:r>
      <w:proofErr w:type="gramStart"/>
      <w:r w:rsidRPr="00D06628">
        <w:rPr>
          <w:rFonts w:asciiTheme="majorHAnsi" w:hAnsiTheme="majorHAnsi" w:cstheme="majorHAnsi"/>
          <w:spacing w:val="4"/>
        </w:rPr>
        <w:t>m</w:t>
      </w:r>
      <w:r w:rsidRPr="00D06628">
        <w:rPr>
          <w:rFonts w:asciiTheme="majorHAnsi" w:hAnsiTheme="majorHAnsi" w:cstheme="majorHAnsi"/>
        </w:rPr>
        <w:t>et</w:t>
      </w:r>
      <w:r w:rsidRPr="00D06628">
        <w:rPr>
          <w:rFonts w:asciiTheme="majorHAnsi" w:hAnsiTheme="majorHAnsi" w:cstheme="majorHAnsi"/>
          <w:spacing w:val="-4"/>
        </w:rPr>
        <w:t xml:space="preserve"> </w:t>
      </w:r>
      <w:r w:rsidRPr="00D06628">
        <w:rPr>
          <w:rFonts w:asciiTheme="majorHAnsi" w:hAnsiTheme="majorHAnsi" w:cstheme="majorHAnsi"/>
        </w:rPr>
        <w:t>at</w:t>
      </w:r>
      <w:r w:rsidRPr="00D06628">
        <w:rPr>
          <w:rFonts w:asciiTheme="majorHAnsi" w:hAnsiTheme="majorHAnsi" w:cstheme="majorHAnsi"/>
          <w:spacing w:val="-3"/>
        </w:rPr>
        <w:t xml:space="preserve"> </w:t>
      </w:r>
      <w:r w:rsidRPr="00D06628">
        <w:rPr>
          <w:rFonts w:asciiTheme="majorHAnsi" w:hAnsiTheme="majorHAnsi" w:cstheme="majorHAnsi"/>
          <w:spacing w:val="2"/>
        </w:rPr>
        <w:t>a</w:t>
      </w:r>
      <w:r w:rsidRPr="00D06628">
        <w:rPr>
          <w:rFonts w:asciiTheme="majorHAnsi" w:hAnsiTheme="majorHAnsi" w:cstheme="majorHAnsi"/>
          <w:spacing w:val="-1"/>
        </w:rPr>
        <w:t>l</w:t>
      </w:r>
      <w:r w:rsidRPr="00D06628">
        <w:rPr>
          <w:rFonts w:asciiTheme="majorHAnsi" w:hAnsiTheme="majorHAnsi" w:cstheme="majorHAnsi"/>
        </w:rPr>
        <w:t>l</w:t>
      </w:r>
      <w:r w:rsidRPr="00D06628">
        <w:rPr>
          <w:rFonts w:asciiTheme="majorHAnsi" w:hAnsiTheme="majorHAnsi" w:cstheme="majorHAnsi"/>
          <w:spacing w:val="-3"/>
        </w:rPr>
        <w:t xml:space="preserve"> </w:t>
      </w:r>
      <w:r w:rsidRPr="00D06628">
        <w:rPr>
          <w:rFonts w:asciiTheme="majorHAnsi" w:hAnsiTheme="majorHAnsi" w:cstheme="majorHAnsi"/>
          <w:spacing w:val="2"/>
        </w:rPr>
        <w:t>t</w:t>
      </w:r>
      <w:r w:rsidRPr="00D06628">
        <w:rPr>
          <w:rFonts w:asciiTheme="majorHAnsi" w:hAnsiTheme="majorHAnsi" w:cstheme="majorHAnsi"/>
          <w:spacing w:val="-1"/>
        </w:rPr>
        <w:t>i</w:t>
      </w:r>
      <w:r w:rsidRPr="00D06628">
        <w:rPr>
          <w:rFonts w:asciiTheme="majorHAnsi" w:hAnsiTheme="majorHAnsi" w:cstheme="majorHAnsi"/>
          <w:spacing w:val="4"/>
        </w:rPr>
        <w:t>m</w:t>
      </w:r>
      <w:r w:rsidRPr="00D06628">
        <w:rPr>
          <w:rFonts w:asciiTheme="majorHAnsi" w:hAnsiTheme="majorHAnsi" w:cstheme="majorHAnsi"/>
        </w:rPr>
        <w:t>e</w:t>
      </w:r>
      <w:r w:rsidRPr="00D06628">
        <w:rPr>
          <w:rFonts w:asciiTheme="majorHAnsi" w:hAnsiTheme="majorHAnsi" w:cstheme="majorHAnsi"/>
          <w:spacing w:val="1"/>
        </w:rPr>
        <w:t>s</w:t>
      </w:r>
      <w:proofErr w:type="gramEnd"/>
      <w:r w:rsidRPr="00D06628">
        <w:rPr>
          <w:rFonts w:asciiTheme="majorHAnsi" w:hAnsiTheme="majorHAnsi" w:cstheme="majorHAnsi"/>
        </w:rPr>
        <w:t xml:space="preserve">. </w:t>
      </w:r>
      <w:r w:rsidRPr="00D06628">
        <w:rPr>
          <w:rFonts w:asciiTheme="majorHAnsi" w:hAnsiTheme="majorHAnsi" w:cstheme="majorHAnsi"/>
          <w:spacing w:val="-1"/>
        </w:rPr>
        <w:t>A</w:t>
      </w:r>
      <w:r w:rsidRPr="00D06628">
        <w:rPr>
          <w:rFonts w:asciiTheme="majorHAnsi" w:hAnsiTheme="majorHAnsi" w:cstheme="majorHAnsi"/>
          <w:spacing w:val="1"/>
        </w:rPr>
        <w:t>l</w:t>
      </w:r>
      <w:r w:rsidRPr="00D06628">
        <w:rPr>
          <w:rFonts w:asciiTheme="majorHAnsi" w:hAnsiTheme="majorHAnsi" w:cstheme="majorHAnsi"/>
        </w:rPr>
        <w:t>l</w:t>
      </w:r>
      <w:r w:rsidRPr="00D06628">
        <w:rPr>
          <w:rFonts w:asciiTheme="majorHAnsi" w:hAnsiTheme="majorHAnsi" w:cstheme="majorHAnsi"/>
          <w:spacing w:val="-1"/>
        </w:rPr>
        <w:t xml:space="preserve"> </w:t>
      </w:r>
      <w:r w:rsidRPr="00D06628">
        <w:rPr>
          <w:rFonts w:asciiTheme="majorHAnsi" w:hAnsiTheme="majorHAnsi" w:cstheme="majorHAnsi"/>
          <w:spacing w:val="-2"/>
        </w:rPr>
        <w:t>w</w:t>
      </w:r>
      <w:r w:rsidRPr="00D06628">
        <w:rPr>
          <w:rFonts w:asciiTheme="majorHAnsi" w:hAnsiTheme="majorHAnsi" w:cstheme="majorHAnsi"/>
        </w:rPr>
        <w:t>o</w:t>
      </w:r>
      <w:r w:rsidRPr="00D06628">
        <w:rPr>
          <w:rFonts w:asciiTheme="majorHAnsi" w:hAnsiTheme="majorHAnsi" w:cstheme="majorHAnsi"/>
          <w:spacing w:val="1"/>
        </w:rPr>
        <w:t>r</w:t>
      </w:r>
      <w:r w:rsidRPr="00D06628">
        <w:rPr>
          <w:rFonts w:asciiTheme="majorHAnsi" w:hAnsiTheme="majorHAnsi" w:cstheme="majorHAnsi"/>
        </w:rPr>
        <w:t>k</w:t>
      </w:r>
      <w:r w:rsidRPr="00D06628">
        <w:rPr>
          <w:rFonts w:asciiTheme="majorHAnsi" w:hAnsiTheme="majorHAnsi" w:cstheme="majorHAnsi"/>
          <w:spacing w:val="-1"/>
        </w:rPr>
        <w:t xml:space="preserve"> </w:t>
      </w:r>
      <w:r w:rsidRPr="00D06628">
        <w:rPr>
          <w:rFonts w:asciiTheme="majorHAnsi" w:hAnsiTheme="majorHAnsi" w:cstheme="majorHAnsi"/>
          <w:spacing w:val="2"/>
        </w:rPr>
        <w:t>b</w:t>
      </w:r>
      <w:r w:rsidRPr="00D06628">
        <w:rPr>
          <w:rFonts w:asciiTheme="majorHAnsi" w:hAnsiTheme="majorHAnsi" w:cstheme="majorHAnsi"/>
        </w:rPr>
        <w:t>y CI</w:t>
      </w:r>
      <w:r w:rsidRPr="00D06628">
        <w:rPr>
          <w:rFonts w:asciiTheme="majorHAnsi" w:hAnsiTheme="majorHAnsi" w:cstheme="majorHAnsi"/>
          <w:spacing w:val="2"/>
        </w:rPr>
        <w:t>f</w:t>
      </w:r>
      <w:r w:rsidRPr="00D06628">
        <w:rPr>
          <w:rFonts w:asciiTheme="majorHAnsi" w:hAnsiTheme="majorHAnsi" w:cstheme="majorHAnsi"/>
        </w:rPr>
        <w:t>A</w:t>
      </w:r>
      <w:r w:rsidRPr="00D06628">
        <w:rPr>
          <w:rFonts w:asciiTheme="majorHAnsi" w:hAnsiTheme="majorHAnsi" w:cstheme="majorHAnsi"/>
          <w:spacing w:val="-3"/>
        </w:rPr>
        <w:t xml:space="preserve"> </w:t>
      </w:r>
      <w:r w:rsidRPr="00D06628">
        <w:rPr>
          <w:rFonts w:asciiTheme="majorHAnsi" w:hAnsiTheme="majorHAnsi" w:cstheme="majorHAnsi"/>
        </w:rPr>
        <w:t>e</w:t>
      </w:r>
      <w:r w:rsidRPr="00D06628">
        <w:rPr>
          <w:rFonts w:asciiTheme="majorHAnsi" w:hAnsiTheme="majorHAnsi" w:cstheme="majorHAnsi"/>
          <w:spacing w:val="4"/>
        </w:rPr>
        <w:t>m</w:t>
      </w:r>
      <w:r w:rsidRPr="00D06628">
        <w:rPr>
          <w:rFonts w:asciiTheme="majorHAnsi" w:hAnsiTheme="majorHAnsi" w:cstheme="majorHAnsi"/>
        </w:rPr>
        <w:t>p</w:t>
      </w:r>
      <w:r w:rsidRPr="00D06628">
        <w:rPr>
          <w:rFonts w:asciiTheme="majorHAnsi" w:hAnsiTheme="majorHAnsi" w:cstheme="majorHAnsi"/>
          <w:spacing w:val="-1"/>
        </w:rPr>
        <w:t>l</w:t>
      </w:r>
      <w:r w:rsidRPr="00D06628">
        <w:rPr>
          <w:rFonts w:asciiTheme="majorHAnsi" w:hAnsiTheme="majorHAnsi" w:cstheme="majorHAnsi"/>
          <w:spacing w:val="4"/>
        </w:rPr>
        <w:t>o</w:t>
      </w:r>
      <w:r w:rsidRPr="00D06628">
        <w:rPr>
          <w:rFonts w:asciiTheme="majorHAnsi" w:hAnsiTheme="majorHAnsi" w:cstheme="majorHAnsi"/>
          <w:spacing w:val="-4"/>
        </w:rPr>
        <w:t>y</w:t>
      </w:r>
      <w:r w:rsidRPr="00D06628">
        <w:rPr>
          <w:rFonts w:asciiTheme="majorHAnsi" w:hAnsiTheme="majorHAnsi" w:cstheme="majorHAnsi"/>
        </w:rPr>
        <w:t>ees</w:t>
      </w:r>
      <w:r w:rsidRPr="00D06628">
        <w:rPr>
          <w:rFonts w:asciiTheme="majorHAnsi" w:hAnsiTheme="majorHAnsi" w:cstheme="majorHAnsi"/>
          <w:spacing w:val="-9"/>
        </w:rPr>
        <w:t xml:space="preserve"> </w:t>
      </w:r>
      <w:r w:rsidRPr="00D06628">
        <w:rPr>
          <w:rFonts w:asciiTheme="majorHAnsi" w:hAnsiTheme="majorHAnsi" w:cstheme="majorHAnsi"/>
          <w:spacing w:val="4"/>
        </w:rPr>
        <w:t>c</w:t>
      </w:r>
      <w:r w:rsidRPr="00D06628">
        <w:rPr>
          <w:rFonts w:asciiTheme="majorHAnsi" w:hAnsiTheme="majorHAnsi" w:cstheme="majorHAnsi"/>
        </w:rPr>
        <w:t>on</w:t>
      </w:r>
      <w:r w:rsidRPr="00D06628">
        <w:rPr>
          <w:rFonts w:asciiTheme="majorHAnsi" w:hAnsiTheme="majorHAnsi" w:cstheme="majorHAnsi"/>
          <w:spacing w:val="2"/>
        </w:rPr>
        <w:t>f</w:t>
      </w:r>
      <w:r w:rsidRPr="00D06628">
        <w:rPr>
          <w:rFonts w:asciiTheme="majorHAnsi" w:hAnsiTheme="majorHAnsi" w:cstheme="majorHAnsi"/>
        </w:rPr>
        <w:t>o</w:t>
      </w:r>
      <w:r w:rsidRPr="00D06628">
        <w:rPr>
          <w:rFonts w:asciiTheme="majorHAnsi" w:hAnsiTheme="majorHAnsi" w:cstheme="majorHAnsi"/>
          <w:spacing w:val="-2"/>
        </w:rPr>
        <w:t>r</w:t>
      </w:r>
      <w:r w:rsidRPr="00D06628">
        <w:rPr>
          <w:rFonts w:asciiTheme="majorHAnsi" w:hAnsiTheme="majorHAnsi" w:cstheme="majorHAnsi"/>
          <w:spacing w:val="4"/>
        </w:rPr>
        <w:t>m</w:t>
      </w:r>
      <w:r w:rsidRPr="00D06628">
        <w:rPr>
          <w:rFonts w:asciiTheme="majorHAnsi" w:hAnsiTheme="majorHAnsi" w:cstheme="majorHAnsi"/>
        </w:rPr>
        <w:t>s</w:t>
      </w:r>
      <w:r w:rsidRPr="00D06628">
        <w:rPr>
          <w:rFonts w:asciiTheme="majorHAnsi" w:hAnsiTheme="majorHAnsi" w:cstheme="majorHAnsi"/>
          <w:spacing w:val="-7"/>
        </w:rPr>
        <w:t xml:space="preserve"> </w:t>
      </w:r>
      <w:r w:rsidRPr="00D06628">
        <w:rPr>
          <w:rFonts w:asciiTheme="majorHAnsi" w:hAnsiTheme="majorHAnsi" w:cstheme="majorHAnsi"/>
        </w:rPr>
        <w:t>to</w:t>
      </w:r>
      <w:r w:rsidRPr="00D06628">
        <w:rPr>
          <w:rFonts w:asciiTheme="majorHAnsi" w:hAnsiTheme="majorHAnsi" w:cstheme="majorHAnsi"/>
          <w:spacing w:val="-3"/>
        </w:rPr>
        <w:t xml:space="preserve"> </w:t>
      </w:r>
      <w:r w:rsidRPr="00D06628">
        <w:rPr>
          <w:rFonts w:asciiTheme="majorHAnsi" w:hAnsiTheme="majorHAnsi" w:cstheme="majorHAnsi"/>
        </w:rPr>
        <w:t>the</w:t>
      </w:r>
      <w:r w:rsidRPr="00D06628">
        <w:rPr>
          <w:rFonts w:asciiTheme="majorHAnsi" w:hAnsiTheme="majorHAnsi" w:cstheme="majorHAnsi"/>
          <w:spacing w:val="-4"/>
        </w:rPr>
        <w:t xml:space="preserve"> </w:t>
      </w:r>
      <w:r w:rsidRPr="00D06628">
        <w:rPr>
          <w:rFonts w:asciiTheme="majorHAnsi" w:hAnsiTheme="majorHAnsi" w:cstheme="majorHAnsi"/>
          <w:spacing w:val="2"/>
        </w:rPr>
        <w:t>p</w:t>
      </w:r>
      <w:r w:rsidRPr="00D06628">
        <w:rPr>
          <w:rFonts w:asciiTheme="majorHAnsi" w:hAnsiTheme="majorHAnsi" w:cstheme="majorHAnsi"/>
        </w:rPr>
        <w:t>o</w:t>
      </w:r>
      <w:r w:rsidRPr="00D06628">
        <w:rPr>
          <w:rFonts w:asciiTheme="majorHAnsi" w:hAnsiTheme="majorHAnsi" w:cstheme="majorHAnsi"/>
          <w:spacing w:val="1"/>
        </w:rPr>
        <w:t>l</w:t>
      </w:r>
      <w:r w:rsidRPr="00D06628">
        <w:rPr>
          <w:rFonts w:asciiTheme="majorHAnsi" w:hAnsiTheme="majorHAnsi" w:cstheme="majorHAnsi"/>
          <w:spacing w:val="-1"/>
        </w:rPr>
        <w:t>i</w:t>
      </w:r>
      <w:r w:rsidRPr="00D06628">
        <w:rPr>
          <w:rFonts w:asciiTheme="majorHAnsi" w:hAnsiTheme="majorHAnsi" w:cstheme="majorHAnsi"/>
          <w:spacing w:val="1"/>
        </w:rPr>
        <w:t>c</w:t>
      </w:r>
      <w:r w:rsidRPr="00D06628">
        <w:rPr>
          <w:rFonts w:asciiTheme="majorHAnsi" w:hAnsiTheme="majorHAnsi" w:cstheme="majorHAnsi"/>
          <w:spacing w:val="-1"/>
        </w:rPr>
        <w:t>i</w:t>
      </w:r>
      <w:r w:rsidRPr="00D06628">
        <w:rPr>
          <w:rFonts w:asciiTheme="majorHAnsi" w:hAnsiTheme="majorHAnsi" w:cstheme="majorHAnsi"/>
        </w:rPr>
        <w:t>es</w:t>
      </w:r>
      <w:r w:rsidRPr="00D06628">
        <w:rPr>
          <w:rFonts w:asciiTheme="majorHAnsi" w:hAnsiTheme="majorHAnsi" w:cstheme="majorHAnsi"/>
          <w:spacing w:val="-6"/>
        </w:rPr>
        <w:t xml:space="preserve"> </w:t>
      </w:r>
      <w:r w:rsidRPr="00D06628">
        <w:rPr>
          <w:rFonts w:asciiTheme="majorHAnsi" w:hAnsiTheme="majorHAnsi" w:cstheme="majorHAnsi"/>
          <w:spacing w:val="1"/>
        </w:rPr>
        <w:t>s</w:t>
      </w:r>
      <w:r w:rsidRPr="00D06628">
        <w:rPr>
          <w:rFonts w:asciiTheme="majorHAnsi" w:hAnsiTheme="majorHAnsi" w:cstheme="majorHAnsi"/>
        </w:rPr>
        <w:t>et</w:t>
      </w:r>
      <w:r w:rsidRPr="00D06628">
        <w:rPr>
          <w:rFonts w:asciiTheme="majorHAnsi" w:hAnsiTheme="majorHAnsi" w:cstheme="majorHAnsi"/>
          <w:spacing w:val="-1"/>
        </w:rPr>
        <w:t xml:space="preserve"> </w:t>
      </w:r>
      <w:r w:rsidRPr="00D06628">
        <w:rPr>
          <w:rFonts w:asciiTheme="majorHAnsi" w:hAnsiTheme="majorHAnsi" w:cstheme="majorHAnsi"/>
        </w:rPr>
        <w:t>out</w:t>
      </w:r>
      <w:r w:rsidRPr="00D06628">
        <w:rPr>
          <w:rFonts w:asciiTheme="majorHAnsi" w:hAnsiTheme="majorHAnsi" w:cstheme="majorHAnsi"/>
          <w:spacing w:val="-1"/>
        </w:rPr>
        <w:t xml:space="preserve"> i</w:t>
      </w:r>
      <w:r w:rsidRPr="00D06628">
        <w:rPr>
          <w:rFonts w:asciiTheme="majorHAnsi" w:hAnsiTheme="majorHAnsi" w:cstheme="majorHAnsi"/>
        </w:rPr>
        <w:t>n</w:t>
      </w:r>
      <w:r w:rsidRPr="00D06628">
        <w:rPr>
          <w:rFonts w:asciiTheme="majorHAnsi" w:hAnsiTheme="majorHAnsi" w:cstheme="majorHAnsi"/>
          <w:spacing w:val="-3"/>
        </w:rPr>
        <w:t xml:space="preserve"> </w:t>
      </w:r>
      <w:r w:rsidRPr="00D06628">
        <w:rPr>
          <w:rFonts w:asciiTheme="majorHAnsi" w:hAnsiTheme="majorHAnsi" w:cstheme="majorHAnsi"/>
          <w:spacing w:val="2"/>
        </w:rPr>
        <w:t>its</w:t>
      </w:r>
      <w:r w:rsidRPr="00D06628">
        <w:rPr>
          <w:rFonts w:asciiTheme="majorHAnsi" w:hAnsiTheme="majorHAnsi" w:cstheme="majorHAnsi"/>
          <w:spacing w:val="-12"/>
        </w:rPr>
        <w:t xml:space="preserve"> </w:t>
      </w:r>
      <w:r w:rsidRPr="00D06628">
        <w:rPr>
          <w:rFonts w:asciiTheme="majorHAnsi" w:hAnsiTheme="majorHAnsi" w:cstheme="majorHAnsi"/>
          <w:i/>
          <w:iCs/>
          <w:spacing w:val="3"/>
        </w:rPr>
        <w:t>H</w:t>
      </w:r>
      <w:r w:rsidRPr="00D06628">
        <w:rPr>
          <w:rFonts w:asciiTheme="majorHAnsi" w:hAnsiTheme="majorHAnsi" w:cstheme="majorHAnsi"/>
          <w:i/>
          <w:iCs/>
        </w:rPr>
        <w:t>ea</w:t>
      </w:r>
      <w:r w:rsidRPr="00D06628">
        <w:rPr>
          <w:rFonts w:asciiTheme="majorHAnsi" w:hAnsiTheme="majorHAnsi" w:cstheme="majorHAnsi"/>
          <w:i/>
          <w:iCs/>
          <w:spacing w:val="1"/>
        </w:rPr>
        <w:t>l</w:t>
      </w:r>
      <w:r w:rsidRPr="00D06628">
        <w:rPr>
          <w:rFonts w:asciiTheme="majorHAnsi" w:hAnsiTheme="majorHAnsi" w:cstheme="majorHAnsi"/>
          <w:i/>
          <w:iCs/>
        </w:rPr>
        <w:t>th and</w:t>
      </w:r>
      <w:r w:rsidRPr="00D06628">
        <w:rPr>
          <w:rFonts w:asciiTheme="majorHAnsi" w:hAnsiTheme="majorHAnsi" w:cstheme="majorHAnsi"/>
          <w:i/>
          <w:iCs/>
          <w:spacing w:val="-1"/>
        </w:rPr>
        <w:t xml:space="preserve"> S</w:t>
      </w:r>
      <w:r w:rsidRPr="00D06628">
        <w:rPr>
          <w:rFonts w:asciiTheme="majorHAnsi" w:hAnsiTheme="majorHAnsi" w:cstheme="majorHAnsi"/>
          <w:i/>
          <w:iCs/>
        </w:rPr>
        <w:t>a</w:t>
      </w:r>
      <w:r w:rsidRPr="00D06628">
        <w:rPr>
          <w:rFonts w:asciiTheme="majorHAnsi" w:hAnsiTheme="majorHAnsi" w:cstheme="majorHAnsi"/>
          <w:i/>
          <w:iCs/>
          <w:spacing w:val="2"/>
        </w:rPr>
        <w:t>f</w:t>
      </w:r>
      <w:r w:rsidRPr="00D06628">
        <w:rPr>
          <w:rFonts w:asciiTheme="majorHAnsi" w:hAnsiTheme="majorHAnsi" w:cstheme="majorHAnsi"/>
          <w:i/>
          <w:iCs/>
        </w:rPr>
        <w:t>ety</w:t>
      </w:r>
      <w:r w:rsidRPr="00D06628">
        <w:rPr>
          <w:rFonts w:asciiTheme="majorHAnsi" w:hAnsiTheme="majorHAnsi" w:cstheme="majorHAnsi"/>
          <w:i/>
          <w:iCs/>
          <w:spacing w:val="-5"/>
        </w:rPr>
        <w:t xml:space="preserve"> </w:t>
      </w:r>
      <w:r w:rsidRPr="00D06628">
        <w:rPr>
          <w:rFonts w:asciiTheme="majorHAnsi" w:hAnsiTheme="majorHAnsi" w:cstheme="majorHAnsi"/>
          <w:i/>
          <w:iCs/>
          <w:spacing w:val="2"/>
        </w:rPr>
        <w:t>P</w:t>
      </w:r>
      <w:r w:rsidRPr="00D06628">
        <w:rPr>
          <w:rFonts w:asciiTheme="majorHAnsi" w:hAnsiTheme="majorHAnsi" w:cstheme="majorHAnsi"/>
          <w:i/>
          <w:iCs/>
        </w:rPr>
        <w:t>o</w:t>
      </w:r>
      <w:r w:rsidRPr="00D06628">
        <w:rPr>
          <w:rFonts w:asciiTheme="majorHAnsi" w:hAnsiTheme="majorHAnsi" w:cstheme="majorHAnsi"/>
          <w:i/>
          <w:iCs/>
          <w:spacing w:val="1"/>
        </w:rPr>
        <w:t>l</w:t>
      </w:r>
      <w:r w:rsidRPr="00D06628">
        <w:rPr>
          <w:rFonts w:asciiTheme="majorHAnsi" w:hAnsiTheme="majorHAnsi" w:cstheme="majorHAnsi"/>
          <w:i/>
          <w:iCs/>
          <w:spacing w:val="-1"/>
        </w:rPr>
        <w:t>i</w:t>
      </w:r>
      <w:r w:rsidRPr="00D06628">
        <w:rPr>
          <w:rFonts w:asciiTheme="majorHAnsi" w:hAnsiTheme="majorHAnsi" w:cstheme="majorHAnsi"/>
          <w:i/>
          <w:iCs/>
          <w:spacing w:val="1"/>
        </w:rPr>
        <w:t>c</w:t>
      </w:r>
      <w:r w:rsidRPr="00D06628">
        <w:rPr>
          <w:rFonts w:asciiTheme="majorHAnsi" w:hAnsiTheme="majorHAnsi" w:cstheme="majorHAnsi"/>
          <w:i/>
          <w:iCs/>
        </w:rPr>
        <w:t>y</w:t>
      </w:r>
      <w:r w:rsidRPr="00D06628">
        <w:rPr>
          <w:rFonts w:asciiTheme="majorHAnsi" w:hAnsiTheme="majorHAnsi" w:cstheme="majorHAnsi"/>
          <w:i/>
          <w:iCs/>
          <w:spacing w:val="-4"/>
        </w:rPr>
        <w:t xml:space="preserve"> </w:t>
      </w:r>
      <w:r w:rsidRPr="00D06628">
        <w:rPr>
          <w:rFonts w:asciiTheme="majorHAnsi" w:hAnsiTheme="majorHAnsi" w:cstheme="majorHAnsi"/>
          <w:i/>
          <w:iCs/>
          <w:spacing w:val="-1"/>
        </w:rPr>
        <w:t>S</w:t>
      </w:r>
      <w:r w:rsidRPr="00D06628">
        <w:rPr>
          <w:rFonts w:asciiTheme="majorHAnsi" w:hAnsiTheme="majorHAnsi" w:cstheme="majorHAnsi"/>
          <w:i/>
          <w:iCs/>
        </w:rPr>
        <w:t>ta</w:t>
      </w:r>
      <w:r w:rsidRPr="00D06628">
        <w:rPr>
          <w:rFonts w:asciiTheme="majorHAnsi" w:hAnsiTheme="majorHAnsi" w:cstheme="majorHAnsi"/>
          <w:i/>
          <w:iCs/>
          <w:spacing w:val="2"/>
        </w:rPr>
        <w:t>t</w:t>
      </w:r>
      <w:r w:rsidRPr="00D06628">
        <w:rPr>
          <w:rFonts w:asciiTheme="majorHAnsi" w:hAnsiTheme="majorHAnsi" w:cstheme="majorHAnsi"/>
          <w:i/>
          <w:iCs/>
        </w:rPr>
        <w:t>em</w:t>
      </w:r>
      <w:r w:rsidRPr="00D06628">
        <w:rPr>
          <w:rFonts w:asciiTheme="majorHAnsi" w:hAnsiTheme="majorHAnsi" w:cstheme="majorHAnsi"/>
          <w:i/>
          <w:iCs/>
          <w:spacing w:val="2"/>
        </w:rPr>
        <w:t>e</w:t>
      </w:r>
      <w:r w:rsidRPr="00D06628">
        <w:rPr>
          <w:rFonts w:asciiTheme="majorHAnsi" w:hAnsiTheme="majorHAnsi" w:cstheme="majorHAnsi"/>
          <w:i/>
          <w:iCs/>
        </w:rPr>
        <w:t>nt</w:t>
      </w:r>
      <w:r w:rsidRPr="00D06628">
        <w:rPr>
          <w:rFonts w:asciiTheme="majorHAnsi" w:hAnsiTheme="majorHAnsi" w:cstheme="majorHAnsi"/>
        </w:rPr>
        <w:t>,</w:t>
      </w:r>
      <w:r w:rsidRPr="00D06628">
        <w:rPr>
          <w:rFonts w:asciiTheme="majorHAnsi" w:hAnsiTheme="majorHAnsi" w:cstheme="majorHAnsi"/>
          <w:spacing w:val="-11"/>
        </w:rPr>
        <w:t xml:space="preserve"> </w:t>
      </w:r>
      <w:r w:rsidRPr="00D06628">
        <w:rPr>
          <w:rFonts w:asciiTheme="majorHAnsi" w:hAnsiTheme="majorHAnsi" w:cstheme="majorHAnsi"/>
          <w:spacing w:val="2"/>
        </w:rPr>
        <w:t>d</w:t>
      </w:r>
      <w:r w:rsidRPr="00D06628">
        <w:rPr>
          <w:rFonts w:asciiTheme="majorHAnsi" w:hAnsiTheme="majorHAnsi" w:cstheme="majorHAnsi"/>
        </w:rPr>
        <w:t>ated</w:t>
      </w:r>
      <w:r w:rsidRPr="00D06628">
        <w:rPr>
          <w:rFonts w:asciiTheme="majorHAnsi" w:hAnsiTheme="majorHAnsi" w:cstheme="majorHAnsi"/>
          <w:spacing w:val="-3"/>
        </w:rPr>
        <w:t xml:space="preserve"> December 2014</w:t>
      </w:r>
      <w:r w:rsidRPr="00D06628">
        <w:rPr>
          <w:rFonts w:asciiTheme="majorHAnsi" w:hAnsiTheme="majorHAnsi" w:cstheme="majorHAnsi"/>
        </w:rPr>
        <w:t>.</w:t>
      </w:r>
      <w:r w:rsidRPr="00D06628">
        <w:rPr>
          <w:rFonts w:asciiTheme="majorHAnsi" w:hAnsiTheme="majorHAnsi" w:cstheme="majorHAnsi"/>
          <w:spacing w:val="-3"/>
        </w:rPr>
        <w:t xml:space="preserve"> </w:t>
      </w:r>
      <w:r w:rsidRPr="00D06628">
        <w:rPr>
          <w:rFonts w:asciiTheme="majorHAnsi" w:hAnsiTheme="majorHAnsi" w:cstheme="majorHAnsi"/>
        </w:rPr>
        <w:t xml:space="preserve">This can be accessed here </w:t>
      </w:r>
      <w:hyperlink r:id="rId18" w:history="1">
        <w:r w:rsidRPr="00D06628">
          <w:rPr>
            <w:rStyle w:val="Hyperlink"/>
            <w:rFonts w:asciiTheme="majorHAnsi" w:hAnsiTheme="majorHAnsi" w:cstheme="majorHAnsi"/>
          </w:rPr>
          <w:t>https://www.archaeologists.net/sites/default/files/Policy%20statements%20revised%20Jan%202022.pdf</w:t>
        </w:r>
      </w:hyperlink>
      <w:r w:rsidRPr="00D06628">
        <w:rPr>
          <w:rFonts w:asciiTheme="majorHAnsi" w:hAnsiTheme="majorHAnsi" w:cstheme="majorHAnsi"/>
        </w:rPr>
        <w:t xml:space="preserve"> </w:t>
      </w:r>
    </w:p>
    <w:p w14:paraId="2988D88C" w14:textId="4D3FA1BC" w:rsidR="004C7915" w:rsidRPr="0029070B" w:rsidRDefault="00C22663" w:rsidP="0029070B">
      <w:r w:rsidRPr="00B40989">
        <w:rPr>
          <w:rFonts w:eastAsia="Times New Roman"/>
          <w:b/>
          <w:bCs/>
        </w:rPr>
        <w:t xml:space="preserve">Risk </w:t>
      </w:r>
      <w:proofErr w:type="gramStart"/>
      <w:r w:rsidRPr="00B40989">
        <w:rPr>
          <w:rFonts w:eastAsia="Times New Roman"/>
          <w:b/>
          <w:bCs/>
        </w:rPr>
        <w:t>log</w:t>
      </w:r>
      <w:proofErr w:type="gramEnd"/>
      <w:r>
        <w:rPr>
          <w:rFonts w:eastAsia="Times New Roman"/>
          <w:b/>
          <w:bCs/>
          <w:sz w:val="24"/>
          <w:szCs w:val="24"/>
        </w:rPr>
        <w:br/>
      </w:r>
      <w:r>
        <w:t>The risk log for the project outlines the primary risks identified (</w:t>
      </w:r>
      <w:r w:rsidRPr="007148B5">
        <w:t>Appendix 1</w:t>
      </w:r>
      <w:r>
        <w:t>) against a scale of likelihood, severity and the steps in place to avoid such eventualities</w:t>
      </w:r>
      <w:r w:rsidRPr="007148B5">
        <w:t xml:space="preserve">. The Risk Log will be updated by the </w:t>
      </w:r>
      <w:r>
        <w:t>project c</w:t>
      </w:r>
      <w:r w:rsidRPr="007148B5">
        <w:t>onsultant</w:t>
      </w:r>
      <w:r>
        <w:t>(s)</w:t>
      </w:r>
      <w:r w:rsidRPr="007148B5">
        <w:t xml:space="preserve"> upon appointment and updated as required</w:t>
      </w:r>
      <w:r>
        <w:t>.</w:t>
      </w:r>
      <w:r w:rsidRPr="007148B5">
        <w:t xml:space="preserve"> </w:t>
      </w:r>
    </w:p>
    <w:p w14:paraId="3B2A7725" w14:textId="03C315D1" w:rsidR="001619BA" w:rsidRPr="005D535B" w:rsidRDefault="001619BA" w:rsidP="0024353A">
      <w:pPr>
        <w:spacing w:after="160" w:line="259" w:lineRule="auto"/>
        <w:rPr>
          <w:rFonts w:eastAsia="Times New Roman"/>
          <w:b/>
          <w:bCs/>
          <w:sz w:val="24"/>
          <w:szCs w:val="24"/>
        </w:rPr>
      </w:pPr>
    </w:p>
    <w:sectPr w:rsidR="001619BA" w:rsidRPr="005D535B">
      <w:footerReference w:type="default" r:id="rId19"/>
      <w:pgSz w:w="14151" w:h="16838"/>
      <w:pgMar w:top="1440" w:right="3685"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4B0E" w14:textId="77777777" w:rsidR="00D02083" w:rsidRDefault="00D02083">
      <w:pPr>
        <w:spacing w:after="0" w:line="240" w:lineRule="auto"/>
      </w:pPr>
      <w:r>
        <w:separator/>
      </w:r>
    </w:p>
  </w:endnote>
  <w:endnote w:type="continuationSeparator" w:id="0">
    <w:p w14:paraId="2A6F4A08" w14:textId="77777777" w:rsidR="00D02083" w:rsidRDefault="00D0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F3BB" w14:textId="77777777" w:rsidR="00DF44FF" w:rsidRDefault="00067CA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E5627">
      <w:rPr>
        <w:noProof/>
        <w:color w:val="000000"/>
      </w:rPr>
      <w:t>16</w:t>
    </w:r>
    <w:r>
      <w:rPr>
        <w:color w:val="000000"/>
      </w:rPr>
      <w:fldChar w:fldCharType="end"/>
    </w:r>
  </w:p>
  <w:p w14:paraId="35C9F3BC" w14:textId="77777777" w:rsidR="00DF44FF" w:rsidRDefault="00DF44F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B960" w14:textId="77777777" w:rsidR="00D02083" w:rsidRDefault="00D02083">
      <w:pPr>
        <w:spacing w:after="0" w:line="240" w:lineRule="auto"/>
      </w:pPr>
      <w:r>
        <w:separator/>
      </w:r>
    </w:p>
  </w:footnote>
  <w:footnote w:type="continuationSeparator" w:id="0">
    <w:p w14:paraId="393778D8" w14:textId="77777777" w:rsidR="00D02083" w:rsidRDefault="00D02083">
      <w:pPr>
        <w:spacing w:after="0" w:line="240" w:lineRule="auto"/>
      </w:pPr>
      <w:r>
        <w:continuationSeparator/>
      </w:r>
    </w:p>
  </w:footnote>
  <w:footnote w:id="1">
    <w:p w14:paraId="015CA36A" w14:textId="77777777" w:rsidR="00FD5E2A" w:rsidRDefault="00FD5E2A">
      <w:pPr>
        <w:pStyle w:val="FootnoteText"/>
      </w:pPr>
      <w:r>
        <w:rPr>
          <w:rStyle w:val="FootnoteReference"/>
        </w:rPr>
        <w:footnoteRef/>
      </w:r>
      <w:r>
        <w:t xml:space="preserve"> , ‘Delivering Public Benefit from Archaeology’ (CIfA, 2020). </w:t>
      </w:r>
      <w:r w:rsidRPr="00FD5E2A">
        <w:t>https://www.archaeologists.net/sites/default/files/Public%20benefit%20leaflet.pdf</w:t>
      </w:r>
    </w:p>
  </w:footnote>
  <w:footnote w:id="2">
    <w:p w14:paraId="27E7C07D" w14:textId="24C0FD78" w:rsidR="00B63C12" w:rsidRPr="008306C3" w:rsidRDefault="00B63C12" w:rsidP="00B63C12">
      <w:pPr>
        <w:pStyle w:val="FootnoteText"/>
      </w:pPr>
      <w:r w:rsidRPr="008306C3">
        <w:rPr>
          <w:rStyle w:val="FootnoteReference"/>
        </w:rPr>
        <w:footnoteRef/>
      </w:r>
      <w:r w:rsidRPr="008306C3">
        <w:t xml:space="preserve"> ‘Professional Practice Paper: Delivering public beneﬁt’ (C</w:t>
      </w:r>
      <w:r w:rsidR="00D208AC">
        <w:t>I</w:t>
      </w:r>
      <w:r w:rsidRPr="008306C3">
        <w:t>fA, Sept 2021) https://www.archaeologists.net/sites/default/files/Delivering_public_benefit.pdf</w:t>
      </w:r>
    </w:p>
  </w:footnote>
  <w:footnote w:id="3">
    <w:p w14:paraId="35C9F3BD" w14:textId="77777777" w:rsidR="00DF44FF" w:rsidRDefault="00067C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history="1">
        <w:r w:rsidRPr="00AB138B">
          <w:rPr>
            <w:sz w:val="20"/>
            <w:szCs w:val="20"/>
            <w:u w:val="single"/>
          </w:rPr>
          <w:t>https://www.archaeologists.net/sites/default/files/Policy%20statements%20revised%20Aug%202018.pdf</w:t>
        </w:r>
      </w:hyperlink>
      <w:r w:rsidRPr="00AB138B">
        <w:rPr>
          <w:sz w:val="20"/>
          <w:szCs w:val="20"/>
        </w:rPr>
        <w:t xml:space="preserve"> the relevant policy section is reproduced in Appendix 1</w:t>
      </w:r>
    </w:p>
  </w:footnote>
  <w:footnote w:id="4">
    <w:p w14:paraId="71669754" w14:textId="5A0CF4F8" w:rsidR="00116ACC" w:rsidRDefault="00116ACC">
      <w:pPr>
        <w:pStyle w:val="FootnoteText"/>
      </w:pPr>
      <w:r>
        <w:rPr>
          <w:rStyle w:val="FootnoteReference"/>
        </w:rPr>
        <w:footnoteRef/>
      </w:r>
      <w:r>
        <w:t xml:space="preserve"> </w:t>
      </w:r>
      <w:hyperlink r:id="rId2" w:history="1">
        <w:r w:rsidRPr="00902D34">
          <w:rPr>
            <w:rStyle w:val="Hyperlink"/>
          </w:rPr>
          <w:t>https://www.archaeologists.net/sites/default/files/CIfAS%26GExcavation_2.pdf</w:t>
        </w:r>
      </w:hyperlink>
      <w:r>
        <w:t xml:space="preserve"> </w:t>
      </w:r>
      <w:r>
        <w:rPr>
          <w:rStyle w:val="Hyperlink"/>
        </w:rPr>
        <w:t>(</w:t>
      </w:r>
      <w:r>
        <w:t>CIfA: 2014, updated Oct.2020)</w:t>
      </w:r>
    </w:p>
  </w:footnote>
  <w:footnote w:id="5">
    <w:p w14:paraId="56247CC2" w14:textId="35EF5319" w:rsidR="00B3080A" w:rsidRDefault="00B3080A">
      <w:pPr>
        <w:pStyle w:val="FootnoteText"/>
      </w:pPr>
      <w:r>
        <w:rPr>
          <w:rStyle w:val="FootnoteReference"/>
        </w:rPr>
        <w:footnoteRef/>
      </w:r>
      <w:r>
        <w:t xml:space="preserve"> </w:t>
      </w:r>
      <w:hyperlink r:id="rId3" w:history="1">
        <w:r w:rsidRPr="003F4062">
          <w:rPr>
            <w:rStyle w:val="Hyperlink"/>
          </w:rPr>
          <w:t>https://www.archaeologists.net/sites/default/files/CIfAS%26GStewardship_3.pdf</w:t>
        </w:r>
      </w:hyperlink>
      <w:r>
        <w:rPr>
          <w:rStyle w:val="Hyperlink"/>
        </w:rPr>
        <w:t xml:space="preserve"> (</w:t>
      </w:r>
      <w:r>
        <w:t>CIfA</w:t>
      </w:r>
      <w:r w:rsidR="006F582D">
        <w:t xml:space="preserve">: </w:t>
      </w:r>
      <w:r>
        <w:t>2014, updated Oct.2020</w:t>
      </w:r>
      <w:r w:rsidR="006F582D">
        <w:t>)</w:t>
      </w:r>
    </w:p>
  </w:footnote>
  <w:footnote w:id="6">
    <w:p w14:paraId="2BCF851D" w14:textId="2FAE2D1E" w:rsidR="00DF4926" w:rsidRDefault="00DF4926" w:rsidP="00DF4926">
      <w:pPr>
        <w:pStyle w:val="CommentText"/>
        <w:numPr>
          <w:ilvl w:val="0"/>
          <w:numId w:val="37"/>
        </w:numPr>
      </w:pPr>
      <w:r>
        <w:rPr>
          <w:rStyle w:val="FootnoteReference"/>
        </w:rPr>
        <w:footnoteRef/>
      </w:r>
      <w:r>
        <w:t xml:space="preserve"> </w:t>
      </w:r>
      <w:hyperlink r:id="rId4" w:history="1">
        <w:r w:rsidRPr="003F4062">
          <w:rPr>
            <w:rStyle w:val="Hyperlink"/>
          </w:rPr>
          <w:t>https://www.archaeologists.net/sites/default/files/CIfAS%26GArchadvice_4.pdf</w:t>
        </w:r>
      </w:hyperlink>
      <w:r>
        <w:rPr>
          <w:rStyle w:val="Hyperlink"/>
        </w:rPr>
        <w:t xml:space="preserve"> </w:t>
      </w:r>
      <w:r>
        <w:t>(CIfA: 2014, updated Oct.2020).</w:t>
      </w:r>
    </w:p>
    <w:p w14:paraId="633542EA" w14:textId="10E13C35" w:rsidR="00DF4926" w:rsidRDefault="00DF4926">
      <w:pPr>
        <w:pStyle w:val="FootnoteText"/>
      </w:pPr>
    </w:p>
  </w:footnote>
  <w:footnote w:id="7">
    <w:p w14:paraId="56827515" w14:textId="6876BA4E" w:rsidR="007819A1" w:rsidRDefault="007819A1">
      <w:pPr>
        <w:pStyle w:val="FootnoteText"/>
        <w:rPr>
          <w:color w:val="0070C0"/>
        </w:rPr>
      </w:pPr>
      <w:r w:rsidRPr="006A72A5">
        <w:rPr>
          <w:rStyle w:val="FootnoteReference"/>
        </w:rPr>
        <w:footnoteRef/>
      </w:r>
      <w:r w:rsidR="00E305C2" w:rsidRPr="006A72A5">
        <w:t xml:space="preserve"> Southport Report (C</w:t>
      </w:r>
      <w:r w:rsidR="007E7FEF" w:rsidRPr="006A72A5">
        <w:t>I</w:t>
      </w:r>
      <w:r w:rsidR="00E305C2" w:rsidRPr="006A72A5">
        <w:t xml:space="preserve">fA, 2011); </w:t>
      </w:r>
      <w:hyperlink r:id="rId5" w:history="1">
        <w:r w:rsidR="002B46F4" w:rsidRPr="00E97FF6">
          <w:rPr>
            <w:rStyle w:val="Hyperlink"/>
          </w:rPr>
          <w:t>www.archaeologists.net/publications/reports</w:t>
        </w:r>
      </w:hyperlink>
    </w:p>
    <w:p w14:paraId="7FF6C4E3" w14:textId="0B5701A7" w:rsidR="002B46F4" w:rsidRDefault="002B46F4">
      <w:pPr>
        <w:pStyle w:val="FootnoteText"/>
      </w:pPr>
      <w:r w:rsidRPr="00C52D7A">
        <w:rPr>
          <w:color w:val="0070C0"/>
          <w:vertAlign w:val="superscript"/>
        </w:rPr>
        <w:t>9</w:t>
      </w:r>
      <w:r>
        <w:rPr>
          <w:color w:val="0070C0"/>
        </w:rPr>
        <w:t xml:space="preserve"> 21</w:t>
      </w:r>
      <w:r w:rsidRPr="00C52D7A">
        <w:rPr>
          <w:color w:val="0070C0"/>
          <w:vertAlign w:val="superscript"/>
        </w:rPr>
        <w:t>st</w:t>
      </w:r>
      <w:r>
        <w:rPr>
          <w:color w:val="0070C0"/>
        </w:rPr>
        <w:t xml:space="preserve"> century challenges for archaeology (CIfA</w:t>
      </w:r>
      <w:r w:rsidR="00554FBC">
        <w:rPr>
          <w:color w:val="0070C0"/>
        </w:rPr>
        <w:t xml:space="preserve">, 2018); </w:t>
      </w:r>
      <w:hyperlink r:id="rId6" w:history="1">
        <w:r w:rsidR="00554FBC" w:rsidRPr="00E97FF6">
          <w:rPr>
            <w:rStyle w:val="Hyperlink"/>
          </w:rPr>
          <w:t>https://www.archaeologists.net/sites/default/files/projects/21st-century%20Challenges%20for%20Archaeology%20project%20report%20October%202018.pdf</w:t>
        </w:r>
      </w:hyperlink>
      <w:r w:rsidR="00554FBC">
        <w:rPr>
          <w:color w:val="0070C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D1"/>
    <w:multiLevelType w:val="multilevel"/>
    <w:tmpl w:val="85965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D77C4"/>
    <w:multiLevelType w:val="hybridMultilevel"/>
    <w:tmpl w:val="26FAB256"/>
    <w:lvl w:ilvl="0" w:tplc="6EE0F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22302"/>
    <w:multiLevelType w:val="hybridMultilevel"/>
    <w:tmpl w:val="82BC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447B6"/>
    <w:multiLevelType w:val="hybridMultilevel"/>
    <w:tmpl w:val="ACF84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39C9"/>
    <w:multiLevelType w:val="hybridMultilevel"/>
    <w:tmpl w:val="9C04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578A5"/>
    <w:multiLevelType w:val="multilevel"/>
    <w:tmpl w:val="86F03030"/>
    <w:lvl w:ilvl="0">
      <w:start w:val="1"/>
      <w:numFmt w:val="decimal"/>
      <w:lvlText w:val="%1."/>
      <w:lvlJc w:val="left"/>
      <w:pPr>
        <w:ind w:left="770" w:hanging="360"/>
      </w:p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6" w15:restartNumberingAfterBreak="0">
    <w:nsid w:val="16990DF1"/>
    <w:multiLevelType w:val="hybridMultilevel"/>
    <w:tmpl w:val="0B46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47E3B"/>
    <w:multiLevelType w:val="hybridMultilevel"/>
    <w:tmpl w:val="C94AAC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21BD2"/>
    <w:multiLevelType w:val="hybridMultilevel"/>
    <w:tmpl w:val="D816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843B4"/>
    <w:multiLevelType w:val="hybridMultilevel"/>
    <w:tmpl w:val="4BB4BF94"/>
    <w:lvl w:ilvl="0" w:tplc="8E5602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D10EE9"/>
    <w:multiLevelType w:val="hybridMultilevel"/>
    <w:tmpl w:val="5274A2E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2CE659B"/>
    <w:multiLevelType w:val="hybridMultilevel"/>
    <w:tmpl w:val="7182260C"/>
    <w:lvl w:ilvl="0" w:tplc="A03CAA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B1233"/>
    <w:multiLevelType w:val="hybridMultilevel"/>
    <w:tmpl w:val="BF22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05407"/>
    <w:multiLevelType w:val="multilevel"/>
    <w:tmpl w:val="85965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8F4DA8"/>
    <w:multiLevelType w:val="hybridMultilevel"/>
    <w:tmpl w:val="CB843B4E"/>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5" w15:restartNumberingAfterBreak="0">
    <w:nsid w:val="332E1A9A"/>
    <w:multiLevelType w:val="multilevel"/>
    <w:tmpl w:val="86F03030"/>
    <w:lvl w:ilvl="0">
      <w:start w:val="1"/>
      <w:numFmt w:val="decimal"/>
      <w:lvlText w:val="%1."/>
      <w:lvlJc w:val="left"/>
      <w:pPr>
        <w:ind w:left="770" w:hanging="360"/>
      </w:p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6" w15:restartNumberingAfterBreak="0">
    <w:nsid w:val="39744CAB"/>
    <w:multiLevelType w:val="hybridMultilevel"/>
    <w:tmpl w:val="060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5182B"/>
    <w:multiLevelType w:val="multilevel"/>
    <w:tmpl w:val="C2549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0105B6"/>
    <w:multiLevelType w:val="multilevel"/>
    <w:tmpl w:val="9B4E9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E47F9B"/>
    <w:multiLevelType w:val="hybridMultilevel"/>
    <w:tmpl w:val="7E505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7D7020"/>
    <w:multiLevelType w:val="multilevel"/>
    <w:tmpl w:val="BBDA4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164A1E"/>
    <w:multiLevelType w:val="hybridMultilevel"/>
    <w:tmpl w:val="56EA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06168"/>
    <w:multiLevelType w:val="multilevel"/>
    <w:tmpl w:val="19AC6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6562CB"/>
    <w:multiLevelType w:val="multilevel"/>
    <w:tmpl w:val="C12686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1C387B"/>
    <w:multiLevelType w:val="hybridMultilevel"/>
    <w:tmpl w:val="9858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B7359"/>
    <w:multiLevelType w:val="hybridMultilevel"/>
    <w:tmpl w:val="EEC0D2B0"/>
    <w:lvl w:ilvl="0" w:tplc="AAB2D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7D9A"/>
    <w:multiLevelType w:val="hybridMultilevel"/>
    <w:tmpl w:val="396A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01574"/>
    <w:multiLevelType w:val="multilevel"/>
    <w:tmpl w:val="86F03030"/>
    <w:lvl w:ilvl="0">
      <w:start w:val="1"/>
      <w:numFmt w:val="decimal"/>
      <w:lvlText w:val="%1."/>
      <w:lvlJc w:val="left"/>
      <w:pPr>
        <w:ind w:left="770" w:hanging="360"/>
      </w:p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54580546"/>
    <w:multiLevelType w:val="multilevel"/>
    <w:tmpl w:val="0E1EFF6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9206DBE"/>
    <w:multiLevelType w:val="hybridMultilevel"/>
    <w:tmpl w:val="BE9ACF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A84E64"/>
    <w:multiLevelType w:val="multilevel"/>
    <w:tmpl w:val="299A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D72003F"/>
    <w:multiLevelType w:val="multilevel"/>
    <w:tmpl w:val="3512744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2" w15:restartNumberingAfterBreak="0">
    <w:nsid w:val="6D83157F"/>
    <w:multiLevelType w:val="multilevel"/>
    <w:tmpl w:val="85965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0E35AC"/>
    <w:multiLevelType w:val="multilevel"/>
    <w:tmpl w:val="A7F26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8DD0BA8"/>
    <w:multiLevelType w:val="hybridMultilevel"/>
    <w:tmpl w:val="5C988BEE"/>
    <w:lvl w:ilvl="0" w:tplc="4A40D2BC">
      <w:start w:val="1"/>
      <w:numFmt w:val="decimal"/>
      <w:lvlText w:val="%1."/>
      <w:lvlJc w:val="left"/>
      <w:pPr>
        <w:ind w:left="649" w:hanging="360"/>
      </w:pPr>
      <w:rPr>
        <w:rFonts w:hint="default"/>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35" w15:restartNumberingAfterBreak="0">
    <w:nsid w:val="795B6135"/>
    <w:multiLevelType w:val="hybridMultilevel"/>
    <w:tmpl w:val="EA7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E20CD"/>
    <w:multiLevelType w:val="multilevel"/>
    <w:tmpl w:val="06BA78A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7465F6"/>
    <w:multiLevelType w:val="hybridMultilevel"/>
    <w:tmpl w:val="22742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098139">
    <w:abstractNumId w:val="17"/>
  </w:num>
  <w:num w:numId="2" w16cid:durableId="1668902402">
    <w:abstractNumId w:val="22"/>
  </w:num>
  <w:num w:numId="3" w16cid:durableId="228852412">
    <w:abstractNumId w:val="15"/>
  </w:num>
  <w:num w:numId="4" w16cid:durableId="1954052144">
    <w:abstractNumId w:val="33"/>
  </w:num>
  <w:num w:numId="5" w16cid:durableId="1649237693">
    <w:abstractNumId w:val="31"/>
  </w:num>
  <w:num w:numId="6" w16cid:durableId="832260046">
    <w:abstractNumId w:val="28"/>
  </w:num>
  <w:num w:numId="7" w16cid:durableId="1273249363">
    <w:abstractNumId w:val="23"/>
  </w:num>
  <w:num w:numId="8" w16cid:durableId="668950085">
    <w:abstractNumId w:val="30"/>
  </w:num>
  <w:num w:numId="9" w16cid:durableId="931932544">
    <w:abstractNumId w:val="0"/>
  </w:num>
  <w:num w:numId="10" w16cid:durableId="2063478731">
    <w:abstractNumId w:val="18"/>
  </w:num>
  <w:num w:numId="11" w16cid:durableId="1120418612">
    <w:abstractNumId w:val="32"/>
  </w:num>
  <w:num w:numId="12" w16cid:durableId="1543395498">
    <w:abstractNumId w:val="13"/>
  </w:num>
  <w:num w:numId="13" w16cid:durableId="418796288">
    <w:abstractNumId w:val="14"/>
  </w:num>
  <w:num w:numId="14" w16cid:durableId="956370112">
    <w:abstractNumId w:val="1"/>
  </w:num>
  <w:num w:numId="15" w16cid:durableId="1768109818">
    <w:abstractNumId w:val="11"/>
  </w:num>
  <w:num w:numId="16" w16cid:durableId="45228967">
    <w:abstractNumId w:val="5"/>
  </w:num>
  <w:num w:numId="17" w16cid:durableId="1722634026">
    <w:abstractNumId w:val="27"/>
  </w:num>
  <w:num w:numId="18" w16cid:durableId="494416692">
    <w:abstractNumId w:val="16"/>
  </w:num>
  <w:num w:numId="19" w16cid:durableId="686953010">
    <w:abstractNumId w:val="2"/>
  </w:num>
  <w:num w:numId="20" w16cid:durableId="450322394">
    <w:abstractNumId w:val="6"/>
  </w:num>
  <w:num w:numId="21" w16cid:durableId="1224676746">
    <w:abstractNumId w:val="4"/>
  </w:num>
  <w:num w:numId="22" w16cid:durableId="732578199">
    <w:abstractNumId w:val="24"/>
  </w:num>
  <w:num w:numId="23" w16cid:durableId="139083585">
    <w:abstractNumId w:val="37"/>
  </w:num>
  <w:num w:numId="24" w16cid:durableId="1143618826">
    <w:abstractNumId w:val="12"/>
  </w:num>
  <w:num w:numId="25" w16cid:durableId="742878471">
    <w:abstractNumId w:val="34"/>
  </w:num>
  <w:num w:numId="26" w16cid:durableId="201216149">
    <w:abstractNumId w:val="9"/>
  </w:num>
  <w:num w:numId="27" w16cid:durableId="18357153">
    <w:abstractNumId w:val="25"/>
  </w:num>
  <w:num w:numId="28" w16cid:durableId="1699970180">
    <w:abstractNumId w:val="29"/>
  </w:num>
  <w:num w:numId="29" w16cid:durableId="1821771280">
    <w:abstractNumId w:val="19"/>
  </w:num>
  <w:num w:numId="30" w16cid:durableId="136068963">
    <w:abstractNumId w:val="7"/>
  </w:num>
  <w:num w:numId="31" w16cid:durableId="2144686268">
    <w:abstractNumId w:val="21"/>
  </w:num>
  <w:num w:numId="32" w16cid:durableId="1954436001">
    <w:abstractNumId w:val="10"/>
  </w:num>
  <w:num w:numId="33" w16cid:durableId="1439182264">
    <w:abstractNumId w:val="8"/>
  </w:num>
  <w:num w:numId="34" w16cid:durableId="690883823">
    <w:abstractNumId w:val="3"/>
  </w:num>
  <w:num w:numId="35" w16cid:durableId="1004475206">
    <w:abstractNumId w:val="35"/>
  </w:num>
  <w:num w:numId="36" w16cid:durableId="568685696">
    <w:abstractNumId w:val="36"/>
  </w:num>
  <w:num w:numId="37" w16cid:durableId="916206104">
    <w:abstractNumId w:val="26"/>
  </w:num>
  <w:num w:numId="38" w16cid:durableId="1954511310">
    <w:abstractNumId w:val="20"/>
  </w:num>
  <w:num w:numId="39" w16cid:durableId="1306354478">
    <w:abstractNumId w:val="31"/>
  </w:num>
  <w:num w:numId="40" w16cid:durableId="1476484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FF"/>
    <w:rsid w:val="00001F4A"/>
    <w:rsid w:val="000043DF"/>
    <w:rsid w:val="000070CC"/>
    <w:rsid w:val="00007D47"/>
    <w:rsid w:val="0001019E"/>
    <w:rsid w:val="000110EF"/>
    <w:rsid w:val="00011225"/>
    <w:rsid w:val="00012292"/>
    <w:rsid w:val="00012498"/>
    <w:rsid w:val="00016456"/>
    <w:rsid w:val="0001646F"/>
    <w:rsid w:val="000224D2"/>
    <w:rsid w:val="00027B4F"/>
    <w:rsid w:val="00027C55"/>
    <w:rsid w:val="00031384"/>
    <w:rsid w:val="00034BB8"/>
    <w:rsid w:val="00035D09"/>
    <w:rsid w:val="00040D2E"/>
    <w:rsid w:val="00041E49"/>
    <w:rsid w:val="00042921"/>
    <w:rsid w:val="00046B4D"/>
    <w:rsid w:val="00047CCA"/>
    <w:rsid w:val="00047FC8"/>
    <w:rsid w:val="00050F0F"/>
    <w:rsid w:val="00051229"/>
    <w:rsid w:val="000518A3"/>
    <w:rsid w:val="00051B94"/>
    <w:rsid w:val="0005278D"/>
    <w:rsid w:val="00052E91"/>
    <w:rsid w:val="00053E82"/>
    <w:rsid w:val="000545A3"/>
    <w:rsid w:val="000558D9"/>
    <w:rsid w:val="0005788A"/>
    <w:rsid w:val="000601E5"/>
    <w:rsid w:val="000605FA"/>
    <w:rsid w:val="000612C9"/>
    <w:rsid w:val="00062237"/>
    <w:rsid w:val="000628A9"/>
    <w:rsid w:val="00062EAD"/>
    <w:rsid w:val="000634CE"/>
    <w:rsid w:val="000662AF"/>
    <w:rsid w:val="0006662F"/>
    <w:rsid w:val="00067CAE"/>
    <w:rsid w:val="00070585"/>
    <w:rsid w:val="000723BD"/>
    <w:rsid w:val="00073111"/>
    <w:rsid w:val="00074374"/>
    <w:rsid w:val="00074ECE"/>
    <w:rsid w:val="000752D3"/>
    <w:rsid w:val="00075AC7"/>
    <w:rsid w:val="000765CF"/>
    <w:rsid w:val="000772C4"/>
    <w:rsid w:val="00077BFE"/>
    <w:rsid w:val="00080FB0"/>
    <w:rsid w:val="00081ADB"/>
    <w:rsid w:val="0008207F"/>
    <w:rsid w:val="00082122"/>
    <w:rsid w:val="000868DD"/>
    <w:rsid w:val="00087369"/>
    <w:rsid w:val="000907A3"/>
    <w:rsid w:val="00090B81"/>
    <w:rsid w:val="000914C6"/>
    <w:rsid w:val="00092A48"/>
    <w:rsid w:val="000950AF"/>
    <w:rsid w:val="00096B1F"/>
    <w:rsid w:val="00097E50"/>
    <w:rsid w:val="000A0666"/>
    <w:rsid w:val="000A083C"/>
    <w:rsid w:val="000A1447"/>
    <w:rsid w:val="000A1547"/>
    <w:rsid w:val="000A1F44"/>
    <w:rsid w:val="000A2064"/>
    <w:rsid w:val="000A4D1C"/>
    <w:rsid w:val="000A5ADD"/>
    <w:rsid w:val="000B2079"/>
    <w:rsid w:val="000B470E"/>
    <w:rsid w:val="000B7555"/>
    <w:rsid w:val="000C1558"/>
    <w:rsid w:val="000C3ACF"/>
    <w:rsid w:val="000C5EAC"/>
    <w:rsid w:val="000C6A29"/>
    <w:rsid w:val="000C703E"/>
    <w:rsid w:val="000C7178"/>
    <w:rsid w:val="000D1877"/>
    <w:rsid w:val="000D5BDF"/>
    <w:rsid w:val="000D6B05"/>
    <w:rsid w:val="000E187A"/>
    <w:rsid w:val="000E1920"/>
    <w:rsid w:val="000E4941"/>
    <w:rsid w:val="000E597E"/>
    <w:rsid w:val="000F1F52"/>
    <w:rsid w:val="000F3278"/>
    <w:rsid w:val="000F3A7F"/>
    <w:rsid w:val="000F74C9"/>
    <w:rsid w:val="00106025"/>
    <w:rsid w:val="00106F03"/>
    <w:rsid w:val="001102F4"/>
    <w:rsid w:val="00114075"/>
    <w:rsid w:val="00114C15"/>
    <w:rsid w:val="00114CAB"/>
    <w:rsid w:val="00114E8C"/>
    <w:rsid w:val="00115F53"/>
    <w:rsid w:val="00116ACC"/>
    <w:rsid w:val="00120FEF"/>
    <w:rsid w:val="001210BA"/>
    <w:rsid w:val="00123E17"/>
    <w:rsid w:val="00124F5F"/>
    <w:rsid w:val="00125C8F"/>
    <w:rsid w:val="0012643F"/>
    <w:rsid w:val="00131AE5"/>
    <w:rsid w:val="00131AFC"/>
    <w:rsid w:val="00133B33"/>
    <w:rsid w:val="00134339"/>
    <w:rsid w:val="001415F9"/>
    <w:rsid w:val="00144EE5"/>
    <w:rsid w:val="00145BD2"/>
    <w:rsid w:val="001469B5"/>
    <w:rsid w:val="001470DE"/>
    <w:rsid w:val="001519BA"/>
    <w:rsid w:val="00151B1C"/>
    <w:rsid w:val="00151ECA"/>
    <w:rsid w:val="001523F0"/>
    <w:rsid w:val="00152697"/>
    <w:rsid w:val="001530F6"/>
    <w:rsid w:val="001555E5"/>
    <w:rsid w:val="001619BA"/>
    <w:rsid w:val="00163BB3"/>
    <w:rsid w:val="00163ED6"/>
    <w:rsid w:val="00164EC3"/>
    <w:rsid w:val="00165C99"/>
    <w:rsid w:val="00165DC9"/>
    <w:rsid w:val="00170A97"/>
    <w:rsid w:val="00170B5E"/>
    <w:rsid w:val="00171817"/>
    <w:rsid w:val="00176694"/>
    <w:rsid w:val="00181459"/>
    <w:rsid w:val="00181E48"/>
    <w:rsid w:val="0018203D"/>
    <w:rsid w:val="001829A9"/>
    <w:rsid w:val="00182B9F"/>
    <w:rsid w:val="00183017"/>
    <w:rsid w:val="00185472"/>
    <w:rsid w:val="0019055B"/>
    <w:rsid w:val="0019071E"/>
    <w:rsid w:val="001966F7"/>
    <w:rsid w:val="00197856"/>
    <w:rsid w:val="001A0E94"/>
    <w:rsid w:val="001A3CD7"/>
    <w:rsid w:val="001B0ACC"/>
    <w:rsid w:val="001B33BC"/>
    <w:rsid w:val="001B4CEE"/>
    <w:rsid w:val="001C0148"/>
    <w:rsid w:val="001C19A1"/>
    <w:rsid w:val="001C2023"/>
    <w:rsid w:val="001C2109"/>
    <w:rsid w:val="001C24CC"/>
    <w:rsid w:val="001C4F76"/>
    <w:rsid w:val="001D2F26"/>
    <w:rsid w:val="001D43FC"/>
    <w:rsid w:val="001D52EC"/>
    <w:rsid w:val="001D53A3"/>
    <w:rsid w:val="001D75C7"/>
    <w:rsid w:val="001E1EF0"/>
    <w:rsid w:val="001E388A"/>
    <w:rsid w:val="001E444E"/>
    <w:rsid w:val="001E7E51"/>
    <w:rsid w:val="001F0123"/>
    <w:rsid w:val="001F121A"/>
    <w:rsid w:val="001F133D"/>
    <w:rsid w:val="001F1A29"/>
    <w:rsid w:val="001F3A87"/>
    <w:rsid w:val="001F41F4"/>
    <w:rsid w:val="001F71EA"/>
    <w:rsid w:val="00200567"/>
    <w:rsid w:val="002029F0"/>
    <w:rsid w:val="00203B5F"/>
    <w:rsid w:val="00204B21"/>
    <w:rsid w:val="00206DEA"/>
    <w:rsid w:val="00207FBD"/>
    <w:rsid w:val="0021086C"/>
    <w:rsid w:val="00213BEE"/>
    <w:rsid w:val="002152E6"/>
    <w:rsid w:val="00215455"/>
    <w:rsid w:val="00216E7C"/>
    <w:rsid w:val="002173C6"/>
    <w:rsid w:val="00217534"/>
    <w:rsid w:val="00217E39"/>
    <w:rsid w:val="002200BE"/>
    <w:rsid w:val="00220B52"/>
    <w:rsid w:val="00221D51"/>
    <w:rsid w:val="0022331B"/>
    <w:rsid w:val="00224B4A"/>
    <w:rsid w:val="002276CE"/>
    <w:rsid w:val="0023094B"/>
    <w:rsid w:val="00232247"/>
    <w:rsid w:val="00233A31"/>
    <w:rsid w:val="00235C71"/>
    <w:rsid w:val="00237110"/>
    <w:rsid w:val="00241381"/>
    <w:rsid w:val="00241F8B"/>
    <w:rsid w:val="0024353A"/>
    <w:rsid w:val="002445FA"/>
    <w:rsid w:val="00245202"/>
    <w:rsid w:val="0024526C"/>
    <w:rsid w:val="00247E64"/>
    <w:rsid w:val="0025191B"/>
    <w:rsid w:val="002519D7"/>
    <w:rsid w:val="00251AD9"/>
    <w:rsid w:val="002530F9"/>
    <w:rsid w:val="00254879"/>
    <w:rsid w:val="00256C27"/>
    <w:rsid w:val="00257614"/>
    <w:rsid w:val="00257F3A"/>
    <w:rsid w:val="00262445"/>
    <w:rsid w:val="00262E45"/>
    <w:rsid w:val="002638DA"/>
    <w:rsid w:val="00263AE2"/>
    <w:rsid w:val="0026593E"/>
    <w:rsid w:val="002677C1"/>
    <w:rsid w:val="0027117E"/>
    <w:rsid w:val="00271C71"/>
    <w:rsid w:val="0027317D"/>
    <w:rsid w:val="00276788"/>
    <w:rsid w:val="002771C4"/>
    <w:rsid w:val="002778A5"/>
    <w:rsid w:val="00281A08"/>
    <w:rsid w:val="00282C2C"/>
    <w:rsid w:val="00287514"/>
    <w:rsid w:val="0029070B"/>
    <w:rsid w:val="0029140A"/>
    <w:rsid w:val="002940BE"/>
    <w:rsid w:val="00295147"/>
    <w:rsid w:val="0029578A"/>
    <w:rsid w:val="002966E2"/>
    <w:rsid w:val="00296DCA"/>
    <w:rsid w:val="002A15AD"/>
    <w:rsid w:val="002A4C45"/>
    <w:rsid w:val="002A5745"/>
    <w:rsid w:val="002A7648"/>
    <w:rsid w:val="002B16E3"/>
    <w:rsid w:val="002B2783"/>
    <w:rsid w:val="002B299A"/>
    <w:rsid w:val="002B3C00"/>
    <w:rsid w:val="002B46F4"/>
    <w:rsid w:val="002B7CBE"/>
    <w:rsid w:val="002C0E66"/>
    <w:rsid w:val="002C1627"/>
    <w:rsid w:val="002C3025"/>
    <w:rsid w:val="002C6087"/>
    <w:rsid w:val="002C62B2"/>
    <w:rsid w:val="002C7470"/>
    <w:rsid w:val="002D49C2"/>
    <w:rsid w:val="002E1158"/>
    <w:rsid w:val="002E44B6"/>
    <w:rsid w:val="002E6584"/>
    <w:rsid w:val="002E7357"/>
    <w:rsid w:val="002E7E97"/>
    <w:rsid w:val="002F198B"/>
    <w:rsid w:val="002F2357"/>
    <w:rsid w:val="002F530B"/>
    <w:rsid w:val="002F56F5"/>
    <w:rsid w:val="002F6C9D"/>
    <w:rsid w:val="00300997"/>
    <w:rsid w:val="00303E93"/>
    <w:rsid w:val="0031158C"/>
    <w:rsid w:val="00312981"/>
    <w:rsid w:val="00312CAE"/>
    <w:rsid w:val="00313027"/>
    <w:rsid w:val="003144B3"/>
    <w:rsid w:val="003212AD"/>
    <w:rsid w:val="00332050"/>
    <w:rsid w:val="00332D2F"/>
    <w:rsid w:val="003332BA"/>
    <w:rsid w:val="003348A0"/>
    <w:rsid w:val="0033512E"/>
    <w:rsid w:val="00340940"/>
    <w:rsid w:val="00340BEC"/>
    <w:rsid w:val="00341350"/>
    <w:rsid w:val="003424A5"/>
    <w:rsid w:val="003426D4"/>
    <w:rsid w:val="0034377D"/>
    <w:rsid w:val="00343798"/>
    <w:rsid w:val="0034590E"/>
    <w:rsid w:val="00350479"/>
    <w:rsid w:val="003548DD"/>
    <w:rsid w:val="00354A79"/>
    <w:rsid w:val="0035658F"/>
    <w:rsid w:val="00361EBE"/>
    <w:rsid w:val="00362A58"/>
    <w:rsid w:val="00366A0A"/>
    <w:rsid w:val="00372154"/>
    <w:rsid w:val="0037256E"/>
    <w:rsid w:val="003732B1"/>
    <w:rsid w:val="003753C0"/>
    <w:rsid w:val="003762BC"/>
    <w:rsid w:val="00382353"/>
    <w:rsid w:val="00382D55"/>
    <w:rsid w:val="00384281"/>
    <w:rsid w:val="00384819"/>
    <w:rsid w:val="0038705F"/>
    <w:rsid w:val="00390D07"/>
    <w:rsid w:val="00395629"/>
    <w:rsid w:val="00396A4F"/>
    <w:rsid w:val="003A072C"/>
    <w:rsid w:val="003A2DAB"/>
    <w:rsid w:val="003A3414"/>
    <w:rsid w:val="003A3ADD"/>
    <w:rsid w:val="003A67E4"/>
    <w:rsid w:val="003B00BD"/>
    <w:rsid w:val="003B0225"/>
    <w:rsid w:val="003B24F9"/>
    <w:rsid w:val="003B41F4"/>
    <w:rsid w:val="003B5104"/>
    <w:rsid w:val="003B6774"/>
    <w:rsid w:val="003B6808"/>
    <w:rsid w:val="003C01C6"/>
    <w:rsid w:val="003C17C6"/>
    <w:rsid w:val="003C18D8"/>
    <w:rsid w:val="003C2296"/>
    <w:rsid w:val="003C37E5"/>
    <w:rsid w:val="003C7A8B"/>
    <w:rsid w:val="003D6087"/>
    <w:rsid w:val="003D7DDA"/>
    <w:rsid w:val="003E015A"/>
    <w:rsid w:val="003E02A2"/>
    <w:rsid w:val="003E04C4"/>
    <w:rsid w:val="003E135E"/>
    <w:rsid w:val="003E496C"/>
    <w:rsid w:val="003E4B91"/>
    <w:rsid w:val="003F0831"/>
    <w:rsid w:val="003F0DA6"/>
    <w:rsid w:val="003F1F6C"/>
    <w:rsid w:val="003F304D"/>
    <w:rsid w:val="003F33FE"/>
    <w:rsid w:val="003F6044"/>
    <w:rsid w:val="003F60A7"/>
    <w:rsid w:val="003F6BE4"/>
    <w:rsid w:val="003F7526"/>
    <w:rsid w:val="00402A1C"/>
    <w:rsid w:val="00404BE3"/>
    <w:rsid w:val="00404E2B"/>
    <w:rsid w:val="00406191"/>
    <w:rsid w:val="00410156"/>
    <w:rsid w:val="00412CF7"/>
    <w:rsid w:val="004131F0"/>
    <w:rsid w:val="00415775"/>
    <w:rsid w:val="004169CE"/>
    <w:rsid w:val="0041709F"/>
    <w:rsid w:val="004202DB"/>
    <w:rsid w:val="00421580"/>
    <w:rsid w:val="004227EE"/>
    <w:rsid w:val="00422EBC"/>
    <w:rsid w:val="0042370B"/>
    <w:rsid w:val="00423B31"/>
    <w:rsid w:val="004248CB"/>
    <w:rsid w:val="004254AD"/>
    <w:rsid w:val="00425F32"/>
    <w:rsid w:val="004276F9"/>
    <w:rsid w:val="00432069"/>
    <w:rsid w:val="004330E1"/>
    <w:rsid w:val="0043653F"/>
    <w:rsid w:val="00436FFA"/>
    <w:rsid w:val="0043722C"/>
    <w:rsid w:val="00441128"/>
    <w:rsid w:val="00444468"/>
    <w:rsid w:val="00445D50"/>
    <w:rsid w:val="00450C9D"/>
    <w:rsid w:val="00456615"/>
    <w:rsid w:val="00460410"/>
    <w:rsid w:val="00460DE1"/>
    <w:rsid w:val="0046105F"/>
    <w:rsid w:val="00462B64"/>
    <w:rsid w:val="0046679A"/>
    <w:rsid w:val="0046773F"/>
    <w:rsid w:val="004826A0"/>
    <w:rsid w:val="0048570D"/>
    <w:rsid w:val="0048577C"/>
    <w:rsid w:val="004862C4"/>
    <w:rsid w:val="004876DC"/>
    <w:rsid w:val="004907E7"/>
    <w:rsid w:val="00490874"/>
    <w:rsid w:val="00492E44"/>
    <w:rsid w:val="004930C2"/>
    <w:rsid w:val="00493525"/>
    <w:rsid w:val="00495D2D"/>
    <w:rsid w:val="00496B86"/>
    <w:rsid w:val="004A0A88"/>
    <w:rsid w:val="004A0CAE"/>
    <w:rsid w:val="004A19A8"/>
    <w:rsid w:val="004A4905"/>
    <w:rsid w:val="004A4CED"/>
    <w:rsid w:val="004A5D41"/>
    <w:rsid w:val="004A613D"/>
    <w:rsid w:val="004B21BD"/>
    <w:rsid w:val="004B44CD"/>
    <w:rsid w:val="004B569A"/>
    <w:rsid w:val="004B5A49"/>
    <w:rsid w:val="004B5C27"/>
    <w:rsid w:val="004B6E00"/>
    <w:rsid w:val="004C56F9"/>
    <w:rsid w:val="004C67E4"/>
    <w:rsid w:val="004C7028"/>
    <w:rsid w:val="004C7915"/>
    <w:rsid w:val="004D21A7"/>
    <w:rsid w:val="004D28DE"/>
    <w:rsid w:val="004D37AA"/>
    <w:rsid w:val="004D38E7"/>
    <w:rsid w:val="004D6537"/>
    <w:rsid w:val="004D674F"/>
    <w:rsid w:val="004E079B"/>
    <w:rsid w:val="004E4D5A"/>
    <w:rsid w:val="004E5174"/>
    <w:rsid w:val="004E5265"/>
    <w:rsid w:val="004E52C2"/>
    <w:rsid w:val="004E6278"/>
    <w:rsid w:val="004E679F"/>
    <w:rsid w:val="004E72DE"/>
    <w:rsid w:val="004E7A05"/>
    <w:rsid w:val="004F1D85"/>
    <w:rsid w:val="004F5066"/>
    <w:rsid w:val="004F6D44"/>
    <w:rsid w:val="004F73E3"/>
    <w:rsid w:val="005000F5"/>
    <w:rsid w:val="00500644"/>
    <w:rsid w:val="0050174B"/>
    <w:rsid w:val="005021F5"/>
    <w:rsid w:val="00502665"/>
    <w:rsid w:val="00503070"/>
    <w:rsid w:val="00503E10"/>
    <w:rsid w:val="0050587B"/>
    <w:rsid w:val="00505F7B"/>
    <w:rsid w:val="00506280"/>
    <w:rsid w:val="0051232F"/>
    <w:rsid w:val="0051577B"/>
    <w:rsid w:val="005159AE"/>
    <w:rsid w:val="005201CC"/>
    <w:rsid w:val="0052020C"/>
    <w:rsid w:val="005203D1"/>
    <w:rsid w:val="0052126E"/>
    <w:rsid w:val="005263FA"/>
    <w:rsid w:val="005271D6"/>
    <w:rsid w:val="00532049"/>
    <w:rsid w:val="00533DDF"/>
    <w:rsid w:val="00534F97"/>
    <w:rsid w:val="00535DE0"/>
    <w:rsid w:val="005375D7"/>
    <w:rsid w:val="00540671"/>
    <w:rsid w:val="0054079D"/>
    <w:rsid w:val="00541BD3"/>
    <w:rsid w:val="005454B2"/>
    <w:rsid w:val="00545CA5"/>
    <w:rsid w:val="00546559"/>
    <w:rsid w:val="00546E4E"/>
    <w:rsid w:val="00547B9D"/>
    <w:rsid w:val="00551B50"/>
    <w:rsid w:val="00553131"/>
    <w:rsid w:val="00554FBC"/>
    <w:rsid w:val="00555130"/>
    <w:rsid w:val="00561950"/>
    <w:rsid w:val="00561CED"/>
    <w:rsid w:val="00561ECD"/>
    <w:rsid w:val="00562667"/>
    <w:rsid w:val="00566144"/>
    <w:rsid w:val="00570A88"/>
    <w:rsid w:val="00571FF1"/>
    <w:rsid w:val="005723D2"/>
    <w:rsid w:val="00575804"/>
    <w:rsid w:val="00576A25"/>
    <w:rsid w:val="005770C7"/>
    <w:rsid w:val="005819A8"/>
    <w:rsid w:val="00584904"/>
    <w:rsid w:val="00584E53"/>
    <w:rsid w:val="00586D06"/>
    <w:rsid w:val="00587E5D"/>
    <w:rsid w:val="00590D85"/>
    <w:rsid w:val="0059310C"/>
    <w:rsid w:val="005938CC"/>
    <w:rsid w:val="00593BB7"/>
    <w:rsid w:val="00594AD1"/>
    <w:rsid w:val="00594E34"/>
    <w:rsid w:val="00594ECD"/>
    <w:rsid w:val="00595638"/>
    <w:rsid w:val="00596DD2"/>
    <w:rsid w:val="00597B22"/>
    <w:rsid w:val="005A0483"/>
    <w:rsid w:val="005A062D"/>
    <w:rsid w:val="005A2AF1"/>
    <w:rsid w:val="005A4502"/>
    <w:rsid w:val="005B0962"/>
    <w:rsid w:val="005B3BBF"/>
    <w:rsid w:val="005B4248"/>
    <w:rsid w:val="005B72F3"/>
    <w:rsid w:val="005C0A24"/>
    <w:rsid w:val="005C0F0C"/>
    <w:rsid w:val="005C1FD4"/>
    <w:rsid w:val="005C6EF7"/>
    <w:rsid w:val="005C6FDA"/>
    <w:rsid w:val="005D1039"/>
    <w:rsid w:val="005D498A"/>
    <w:rsid w:val="005D535B"/>
    <w:rsid w:val="005D57BB"/>
    <w:rsid w:val="005D59D9"/>
    <w:rsid w:val="005D6571"/>
    <w:rsid w:val="005D7D52"/>
    <w:rsid w:val="005E0CF9"/>
    <w:rsid w:val="005E1035"/>
    <w:rsid w:val="005E13FB"/>
    <w:rsid w:val="005E1BD2"/>
    <w:rsid w:val="005E393B"/>
    <w:rsid w:val="005E39DF"/>
    <w:rsid w:val="005E46BC"/>
    <w:rsid w:val="005E6390"/>
    <w:rsid w:val="005E73D9"/>
    <w:rsid w:val="005E764A"/>
    <w:rsid w:val="005E7EFF"/>
    <w:rsid w:val="005F1E9C"/>
    <w:rsid w:val="005F20C8"/>
    <w:rsid w:val="005F2EB4"/>
    <w:rsid w:val="005F75B2"/>
    <w:rsid w:val="006016E5"/>
    <w:rsid w:val="0060440F"/>
    <w:rsid w:val="00605699"/>
    <w:rsid w:val="00605AF7"/>
    <w:rsid w:val="0061070F"/>
    <w:rsid w:val="00612144"/>
    <w:rsid w:val="00616E0E"/>
    <w:rsid w:val="00616FBE"/>
    <w:rsid w:val="00622DE2"/>
    <w:rsid w:val="00623284"/>
    <w:rsid w:val="00624911"/>
    <w:rsid w:val="0062590A"/>
    <w:rsid w:val="00626A85"/>
    <w:rsid w:val="00627173"/>
    <w:rsid w:val="00630E53"/>
    <w:rsid w:val="00630E57"/>
    <w:rsid w:val="00631D89"/>
    <w:rsid w:val="00631E3D"/>
    <w:rsid w:val="006337A4"/>
    <w:rsid w:val="00634653"/>
    <w:rsid w:val="006352A2"/>
    <w:rsid w:val="006369AE"/>
    <w:rsid w:val="006406E1"/>
    <w:rsid w:val="00641174"/>
    <w:rsid w:val="00642629"/>
    <w:rsid w:val="00645858"/>
    <w:rsid w:val="00646FF7"/>
    <w:rsid w:val="0064721A"/>
    <w:rsid w:val="00652558"/>
    <w:rsid w:val="00652576"/>
    <w:rsid w:val="006539DE"/>
    <w:rsid w:val="006561C5"/>
    <w:rsid w:val="006576D3"/>
    <w:rsid w:val="006617B1"/>
    <w:rsid w:val="00661866"/>
    <w:rsid w:val="006638E1"/>
    <w:rsid w:val="006640D5"/>
    <w:rsid w:val="0066637F"/>
    <w:rsid w:val="0066742A"/>
    <w:rsid w:val="00667C08"/>
    <w:rsid w:val="0067122A"/>
    <w:rsid w:val="006763C3"/>
    <w:rsid w:val="00677D19"/>
    <w:rsid w:val="006800C8"/>
    <w:rsid w:val="00683C89"/>
    <w:rsid w:val="00685169"/>
    <w:rsid w:val="00687211"/>
    <w:rsid w:val="00687359"/>
    <w:rsid w:val="00693927"/>
    <w:rsid w:val="00693AE5"/>
    <w:rsid w:val="00693C3B"/>
    <w:rsid w:val="0069539A"/>
    <w:rsid w:val="006957CF"/>
    <w:rsid w:val="006970C9"/>
    <w:rsid w:val="006A09FC"/>
    <w:rsid w:val="006A1EDC"/>
    <w:rsid w:val="006A614B"/>
    <w:rsid w:val="006A6693"/>
    <w:rsid w:val="006A72A5"/>
    <w:rsid w:val="006B2F73"/>
    <w:rsid w:val="006B3DB2"/>
    <w:rsid w:val="006B3EA1"/>
    <w:rsid w:val="006B518F"/>
    <w:rsid w:val="006B572E"/>
    <w:rsid w:val="006C1099"/>
    <w:rsid w:val="006C120A"/>
    <w:rsid w:val="006C1825"/>
    <w:rsid w:val="006C1B8C"/>
    <w:rsid w:val="006C1BA7"/>
    <w:rsid w:val="006C3677"/>
    <w:rsid w:val="006C3F62"/>
    <w:rsid w:val="006C5BB1"/>
    <w:rsid w:val="006D1C4F"/>
    <w:rsid w:val="006D23AA"/>
    <w:rsid w:val="006D23B3"/>
    <w:rsid w:val="006D2A9E"/>
    <w:rsid w:val="006D3E00"/>
    <w:rsid w:val="006E00BB"/>
    <w:rsid w:val="006E2298"/>
    <w:rsid w:val="006E640A"/>
    <w:rsid w:val="006E6539"/>
    <w:rsid w:val="006F1565"/>
    <w:rsid w:val="006F29F0"/>
    <w:rsid w:val="006F2DCE"/>
    <w:rsid w:val="006F393D"/>
    <w:rsid w:val="006F3BC0"/>
    <w:rsid w:val="006F4EEA"/>
    <w:rsid w:val="006F582D"/>
    <w:rsid w:val="0070183B"/>
    <w:rsid w:val="0070547C"/>
    <w:rsid w:val="00707174"/>
    <w:rsid w:val="00710036"/>
    <w:rsid w:val="00711599"/>
    <w:rsid w:val="00712E54"/>
    <w:rsid w:val="007146D4"/>
    <w:rsid w:val="00715540"/>
    <w:rsid w:val="007165CA"/>
    <w:rsid w:val="007179B0"/>
    <w:rsid w:val="007207E8"/>
    <w:rsid w:val="00720872"/>
    <w:rsid w:val="00720996"/>
    <w:rsid w:val="0072270C"/>
    <w:rsid w:val="007246FD"/>
    <w:rsid w:val="00726B14"/>
    <w:rsid w:val="00732B98"/>
    <w:rsid w:val="0073308B"/>
    <w:rsid w:val="00733F72"/>
    <w:rsid w:val="00736457"/>
    <w:rsid w:val="007375C1"/>
    <w:rsid w:val="00737865"/>
    <w:rsid w:val="00742B02"/>
    <w:rsid w:val="007432AC"/>
    <w:rsid w:val="00745F99"/>
    <w:rsid w:val="00746152"/>
    <w:rsid w:val="00747242"/>
    <w:rsid w:val="00747283"/>
    <w:rsid w:val="00747B1F"/>
    <w:rsid w:val="00747CD7"/>
    <w:rsid w:val="00751380"/>
    <w:rsid w:val="007520C0"/>
    <w:rsid w:val="00756CDE"/>
    <w:rsid w:val="00757E13"/>
    <w:rsid w:val="00761825"/>
    <w:rsid w:val="00765AA6"/>
    <w:rsid w:val="00766D12"/>
    <w:rsid w:val="0076707F"/>
    <w:rsid w:val="00767CD8"/>
    <w:rsid w:val="00771547"/>
    <w:rsid w:val="0077161A"/>
    <w:rsid w:val="007773E8"/>
    <w:rsid w:val="007819A1"/>
    <w:rsid w:val="007838C3"/>
    <w:rsid w:val="00785883"/>
    <w:rsid w:val="00786988"/>
    <w:rsid w:val="00787035"/>
    <w:rsid w:val="00787FEF"/>
    <w:rsid w:val="00791BFE"/>
    <w:rsid w:val="00794A61"/>
    <w:rsid w:val="00795B5D"/>
    <w:rsid w:val="00796148"/>
    <w:rsid w:val="0079751F"/>
    <w:rsid w:val="007A04E5"/>
    <w:rsid w:val="007A1EAC"/>
    <w:rsid w:val="007A2FDE"/>
    <w:rsid w:val="007A55B4"/>
    <w:rsid w:val="007B1856"/>
    <w:rsid w:val="007B6EE0"/>
    <w:rsid w:val="007C1F5D"/>
    <w:rsid w:val="007C22B9"/>
    <w:rsid w:val="007C3D79"/>
    <w:rsid w:val="007C4BC2"/>
    <w:rsid w:val="007C51CE"/>
    <w:rsid w:val="007C5D4C"/>
    <w:rsid w:val="007D0D41"/>
    <w:rsid w:val="007D2804"/>
    <w:rsid w:val="007D3C3F"/>
    <w:rsid w:val="007D5892"/>
    <w:rsid w:val="007D79FB"/>
    <w:rsid w:val="007E1579"/>
    <w:rsid w:val="007E2A76"/>
    <w:rsid w:val="007E30C1"/>
    <w:rsid w:val="007E5627"/>
    <w:rsid w:val="007E7FEF"/>
    <w:rsid w:val="007F0AD1"/>
    <w:rsid w:val="007F0B3F"/>
    <w:rsid w:val="007F29A6"/>
    <w:rsid w:val="007F59B1"/>
    <w:rsid w:val="007F5E2A"/>
    <w:rsid w:val="007F7065"/>
    <w:rsid w:val="007F7A75"/>
    <w:rsid w:val="00800AE6"/>
    <w:rsid w:val="0080103C"/>
    <w:rsid w:val="0080139D"/>
    <w:rsid w:val="00801C1E"/>
    <w:rsid w:val="0080251D"/>
    <w:rsid w:val="008055D7"/>
    <w:rsid w:val="00805BE0"/>
    <w:rsid w:val="00807B2C"/>
    <w:rsid w:val="008113A4"/>
    <w:rsid w:val="0081220F"/>
    <w:rsid w:val="008155B6"/>
    <w:rsid w:val="00820147"/>
    <w:rsid w:val="00821135"/>
    <w:rsid w:val="008212DD"/>
    <w:rsid w:val="0082153C"/>
    <w:rsid w:val="008230E3"/>
    <w:rsid w:val="00826245"/>
    <w:rsid w:val="00827D55"/>
    <w:rsid w:val="008306C3"/>
    <w:rsid w:val="00830A1C"/>
    <w:rsid w:val="00832138"/>
    <w:rsid w:val="008321A1"/>
    <w:rsid w:val="00833492"/>
    <w:rsid w:val="00836CF3"/>
    <w:rsid w:val="00842028"/>
    <w:rsid w:val="00842069"/>
    <w:rsid w:val="00845A45"/>
    <w:rsid w:val="00847DB9"/>
    <w:rsid w:val="00852DBE"/>
    <w:rsid w:val="00855A0D"/>
    <w:rsid w:val="00856C34"/>
    <w:rsid w:val="008608DB"/>
    <w:rsid w:val="00860DAF"/>
    <w:rsid w:val="00866D6F"/>
    <w:rsid w:val="00877F60"/>
    <w:rsid w:val="00880B80"/>
    <w:rsid w:val="008816A7"/>
    <w:rsid w:val="00883890"/>
    <w:rsid w:val="008867C1"/>
    <w:rsid w:val="00890718"/>
    <w:rsid w:val="00892DC2"/>
    <w:rsid w:val="00893A1A"/>
    <w:rsid w:val="00894738"/>
    <w:rsid w:val="00896D09"/>
    <w:rsid w:val="00897425"/>
    <w:rsid w:val="008A001B"/>
    <w:rsid w:val="008A07DD"/>
    <w:rsid w:val="008A1AB5"/>
    <w:rsid w:val="008A3998"/>
    <w:rsid w:val="008A45F9"/>
    <w:rsid w:val="008A4A61"/>
    <w:rsid w:val="008A6787"/>
    <w:rsid w:val="008B0098"/>
    <w:rsid w:val="008B08BE"/>
    <w:rsid w:val="008B298C"/>
    <w:rsid w:val="008B2B47"/>
    <w:rsid w:val="008B3FCF"/>
    <w:rsid w:val="008B5944"/>
    <w:rsid w:val="008B5B9C"/>
    <w:rsid w:val="008C1530"/>
    <w:rsid w:val="008C4645"/>
    <w:rsid w:val="008C5A7B"/>
    <w:rsid w:val="008C5DD9"/>
    <w:rsid w:val="008D0417"/>
    <w:rsid w:val="008D10B6"/>
    <w:rsid w:val="008D1840"/>
    <w:rsid w:val="008D1F2C"/>
    <w:rsid w:val="008D1FB7"/>
    <w:rsid w:val="008D52C7"/>
    <w:rsid w:val="008D57E8"/>
    <w:rsid w:val="008E122A"/>
    <w:rsid w:val="008E1FB8"/>
    <w:rsid w:val="008E2937"/>
    <w:rsid w:val="008E3171"/>
    <w:rsid w:val="008E46BA"/>
    <w:rsid w:val="008E5DC6"/>
    <w:rsid w:val="008E7A2E"/>
    <w:rsid w:val="008F059A"/>
    <w:rsid w:val="008F23F5"/>
    <w:rsid w:val="008F5597"/>
    <w:rsid w:val="008F6444"/>
    <w:rsid w:val="008F799D"/>
    <w:rsid w:val="009022E5"/>
    <w:rsid w:val="00904EE8"/>
    <w:rsid w:val="00906818"/>
    <w:rsid w:val="009107E1"/>
    <w:rsid w:val="00910A0B"/>
    <w:rsid w:val="00911B77"/>
    <w:rsid w:val="009129A9"/>
    <w:rsid w:val="00912B34"/>
    <w:rsid w:val="0091305F"/>
    <w:rsid w:val="00913C95"/>
    <w:rsid w:val="00916414"/>
    <w:rsid w:val="00917DCD"/>
    <w:rsid w:val="009237EF"/>
    <w:rsid w:val="00924932"/>
    <w:rsid w:val="00925708"/>
    <w:rsid w:val="00926F2C"/>
    <w:rsid w:val="00926F92"/>
    <w:rsid w:val="00933048"/>
    <w:rsid w:val="00934C47"/>
    <w:rsid w:val="00935224"/>
    <w:rsid w:val="00935BB0"/>
    <w:rsid w:val="00935E1F"/>
    <w:rsid w:val="0094274C"/>
    <w:rsid w:val="00942D44"/>
    <w:rsid w:val="009434CE"/>
    <w:rsid w:val="00943649"/>
    <w:rsid w:val="00944674"/>
    <w:rsid w:val="0094472D"/>
    <w:rsid w:val="0094490F"/>
    <w:rsid w:val="00952E50"/>
    <w:rsid w:val="00953174"/>
    <w:rsid w:val="009545CF"/>
    <w:rsid w:val="009554C2"/>
    <w:rsid w:val="00957073"/>
    <w:rsid w:val="00960197"/>
    <w:rsid w:val="00960715"/>
    <w:rsid w:val="00963D56"/>
    <w:rsid w:val="00963DE9"/>
    <w:rsid w:val="00965D5E"/>
    <w:rsid w:val="00965F90"/>
    <w:rsid w:val="009704E5"/>
    <w:rsid w:val="00973152"/>
    <w:rsid w:val="00973DC5"/>
    <w:rsid w:val="009761EA"/>
    <w:rsid w:val="00976564"/>
    <w:rsid w:val="00977894"/>
    <w:rsid w:val="009818A6"/>
    <w:rsid w:val="00982FD5"/>
    <w:rsid w:val="00985199"/>
    <w:rsid w:val="00986F3F"/>
    <w:rsid w:val="009903E4"/>
    <w:rsid w:val="009905FB"/>
    <w:rsid w:val="0099230C"/>
    <w:rsid w:val="0099245A"/>
    <w:rsid w:val="00993945"/>
    <w:rsid w:val="00994CBA"/>
    <w:rsid w:val="00994F19"/>
    <w:rsid w:val="00996376"/>
    <w:rsid w:val="00997230"/>
    <w:rsid w:val="00997649"/>
    <w:rsid w:val="00997BCC"/>
    <w:rsid w:val="00997E15"/>
    <w:rsid w:val="009A0C10"/>
    <w:rsid w:val="009A24DC"/>
    <w:rsid w:val="009A2BFE"/>
    <w:rsid w:val="009A37B3"/>
    <w:rsid w:val="009A3EA9"/>
    <w:rsid w:val="009A4770"/>
    <w:rsid w:val="009A4C11"/>
    <w:rsid w:val="009A548E"/>
    <w:rsid w:val="009A7D41"/>
    <w:rsid w:val="009A7E31"/>
    <w:rsid w:val="009B2347"/>
    <w:rsid w:val="009B2564"/>
    <w:rsid w:val="009B29CB"/>
    <w:rsid w:val="009B38F4"/>
    <w:rsid w:val="009B496E"/>
    <w:rsid w:val="009B5F99"/>
    <w:rsid w:val="009B622F"/>
    <w:rsid w:val="009B7057"/>
    <w:rsid w:val="009C06DE"/>
    <w:rsid w:val="009C1B0C"/>
    <w:rsid w:val="009C1F6C"/>
    <w:rsid w:val="009C2195"/>
    <w:rsid w:val="009C3CC7"/>
    <w:rsid w:val="009C61AB"/>
    <w:rsid w:val="009C6205"/>
    <w:rsid w:val="009C6CF8"/>
    <w:rsid w:val="009D0423"/>
    <w:rsid w:val="009D13F8"/>
    <w:rsid w:val="009D4A86"/>
    <w:rsid w:val="009D6FD7"/>
    <w:rsid w:val="009E4791"/>
    <w:rsid w:val="009E789F"/>
    <w:rsid w:val="009F142F"/>
    <w:rsid w:val="009F6A86"/>
    <w:rsid w:val="009F740F"/>
    <w:rsid w:val="00A00F23"/>
    <w:rsid w:val="00A0188E"/>
    <w:rsid w:val="00A02E90"/>
    <w:rsid w:val="00A035F8"/>
    <w:rsid w:val="00A10536"/>
    <w:rsid w:val="00A106B7"/>
    <w:rsid w:val="00A13D00"/>
    <w:rsid w:val="00A158FE"/>
    <w:rsid w:val="00A1616E"/>
    <w:rsid w:val="00A17BAD"/>
    <w:rsid w:val="00A20197"/>
    <w:rsid w:val="00A20C72"/>
    <w:rsid w:val="00A21C41"/>
    <w:rsid w:val="00A230B7"/>
    <w:rsid w:val="00A31073"/>
    <w:rsid w:val="00A328AE"/>
    <w:rsid w:val="00A3462F"/>
    <w:rsid w:val="00A36056"/>
    <w:rsid w:val="00A3647A"/>
    <w:rsid w:val="00A37FB6"/>
    <w:rsid w:val="00A40376"/>
    <w:rsid w:val="00A42B2E"/>
    <w:rsid w:val="00A44DD4"/>
    <w:rsid w:val="00A450D3"/>
    <w:rsid w:val="00A45623"/>
    <w:rsid w:val="00A474DE"/>
    <w:rsid w:val="00A5728B"/>
    <w:rsid w:val="00A643DA"/>
    <w:rsid w:val="00A67D6C"/>
    <w:rsid w:val="00A67E63"/>
    <w:rsid w:val="00A7012C"/>
    <w:rsid w:val="00A7037A"/>
    <w:rsid w:val="00A70D8C"/>
    <w:rsid w:val="00A72EF4"/>
    <w:rsid w:val="00A73CE1"/>
    <w:rsid w:val="00A74689"/>
    <w:rsid w:val="00A76D7F"/>
    <w:rsid w:val="00A7719B"/>
    <w:rsid w:val="00A77DF5"/>
    <w:rsid w:val="00A820F9"/>
    <w:rsid w:val="00A838A4"/>
    <w:rsid w:val="00A83F25"/>
    <w:rsid w:val="00A840A9"/>
    <w:rsid w:val="00A851FA"/>
    <w:rsid w:val="00A85329"/>
    <w:rsid w:val="00A8558D"/>
    <w:rsid w:val="00A879B6"/>
    <w:rsid w:val="00A90809"/>
    <w:rsid w:val="00A9289F"/>
    <w:rsid w:val="00A95502"/>
    <w:rsid w:val="00A96A0D"/>
    <w:rsid w:val="00A96DEC"/>
    <w:rsid w:val="00AA11F1"/>
    <w:rsid w:val="00AA17BB"/>
    <w:rsid w:val="00AA1B67"/>
    <w:rsid w:val="00AA26A9"/>
    <w:rsid w:val="00AA3EF4"/>
    <w:rsid w:val="00AA45BA"/>
    <w:rsid w:val="00AA62B5"/>
    <w:rsid w:val="00AA6814"/>
    <w:rsid w:val="00AA6ABF"/>
    <w:rsid w:val="00AA6B27"/>
    <w:rsid w:val="00AB138B"/>
    <w:rsid w:val="00AB19BA"/>
    <w:rsid w:val="00AB1A71"/>
    <w:rsid w:val="00AB4E44"/>
    <w:rsid w:val="00AB55B0"/>
    <w:rsid w:val="00AB6783"/>
    <w:rsid w:val="00AC1273"/>
    <w:rsid w:val="00AC213F"/>
    <w:rsid w:val="00AC29FD"/>
    <w:rsid w:val="00AC4048"/>
    <w:rsid w:val="00AC44F3"/>
    <w:rsid w:val="00AC5AB0"/>
    <w:rsid w:val="00AC5CD6"/>
    <w:rsid w:val="00AC5D6A"/>
    <w:rsid w:val="00AD3B6A"/>
    <w:rsid w:val="00AD3F65"/>
    <w:rsid w:val="00AD4443"/>
    <w:rsid w:val="00AD4C0F"/>
    <w:rsid w:val="00AE0379"/>
    <w:rsid w:val="00AE0C74"/>
    <w:rsid w:val="00AE2FC5"/>
    <w:rsid w:val="00AE3766"/>
    <w:rsid w:val="00AE620B"/>
    <w:rsid w:val="00AF150E"/>
    <w:rsid w:val="00AF4349"/>
    <w:rsid w:val="00AF7BDE"/>
    <w:rsid w:val="00B00DE9"/>
    <w:rsid w:val="00B016D0"/>
    <w:rsid w:val="00B04045"/>
    <w:rsid w:val="00B04C18"/>
    <w:rsid w:val="00B04E3F"/>
    <w:rsid w:val="00B0550E"/>
    <w:rsid w:val="00B0626E"/>
    <w:rsid w:val="00B10BE8"/>
    <w:rsid w:val="00B10C5A"/>
    <w:rsid w:val="00B116AA"/>
    <w:rsid w:val="00B12079"/>
    <w:rsid w:val="00B1299A"/>
    <w:rsid w:val="00B162FF"/>
    <w:rsid w:val="00B16BFC"/>
    <w:rsid w:val="00B1732D"/>
    <w:rsid w:val="00B208EF"/>
    <w:rsid w:val="00B2215B"/>
    <w:rsid w:val="00B22CC4"/>
    <w:rsid w:val="00B26BA4"/>
    <w:rsid w:val="00B27B93"/>
    <w:rsid w:val="00B30448"/>
    <w:rsid w:val="00B3080A"/>
    <w:rsid w:val="00B3141B"/>
    <w:rsid w:val="00B317F5"/>
    <w:rsid w:val="00B332A0"/>
    <w:rsid w:val="00B33396"/>
    <w:rsid w:val="00B33A1A"/>
    <w:rsid w:val="00B33D2A"/>
    <w:rsid w:val="00B36A7D"/>
    <w:rsid w:val="00B36F3E"/>
    <w:rsid w:val="00B3742E"/>
    <w:rsid w:val="00B37654"/>
    <w:rsid w:val="00B40989"/>
    <w:rsid w:val="00B41FFE"/>
    <w:rsid w:val="00B42757"/>
    <w:rsid w:val="00B43D47"/>
    <w:rsid w:val="00B45A25"/>
    <w:rsid w:val="00B51502"/>
    <w:rsid w:val="00B552F2"/>
    <w:rsid w:val="00B5740E"/>
    <w:rsid w:val="00B57929"/>
    <w:rsid w:val="00B63C12"/>
    <w:rsid w:val="00B66180"/>
    <w:rsid w:val="00B664F9"/>
    <w:rsid w:val="00B67889"/>
    <w:rsid w:val="00B749EA"/>
    <w:rsid w:val="00B7548D"/>
    <w:rsid w:val="00B75E05"/>
    <w:rsid w:val="00B778FF"/>
    <w:rsid w:val="00B8225D"/>
    <w:rsid w:val="00B830A5"/>
    <w:rsid w:val="00B833D9"/>
    <w:rsid w:val="00B849C8"/>
    <w:rsid w:val="00B84FFB"/>
    <w:rsid w:val="00B85C94"/>
    <w:rsid w:val="00B91440"/>
    <w:rsid w:val="00B937DD"/>
    <w:rsid w:val="00B96BCC"/>
    <w:rsid w:val="00B97267"/>
    <w:rsid w:val="00BA0569"/>
    <w:rsid w:val="00BA5707"/>
    <w:rsid w:val="00BA730A"/>
    <w:rsid w:val="00BB0257"/>
    <w:rsid w:val="00BB2924"/>
    <w:rsid w:val="00BB40B0"/>
    <w:rsid w:val="00BB4F2E"/>
    <w:rsid w:val="00BB618E"/>
    <w:rsid w:val="00BC082E"/>
    <w:rsid w:val="00BC2684"/>
    <w:rsid w:val="00BC5159"/>
    <w:rsid w:val="00BD086E"/>
    <w:rsid w:val="00BD3150"/>
    <w:rsid w:val="00BD67DC"/>
    <w:rsid w:val="00BD69F8"/>
    <w:rsid w:val="00BD6E3F"/>
    <w:rsid w:val="00BE0DA1"/>
    <w:rsid w:val="00BE0E8D"/>
    <w:rsid w:val="00BE1288"/>
    <w:rsid w:val="00BE160D"/>
    <w:rsid w:val="00BE1C60"/>
    <w:rsid w:val="00BE31B2"/>
    <w:rsid w:val="00BE3E05"/>
    <w:rsid w:val="00BE4695"/>
    <w:rsid w:val="00BE59C7"/>
    <w:rsid w:val="00BE6119"/>
    <w:rsid w:val="00BF10CA"/>
    <w:rsid w:val="00BF1E48"/>
    <w:rsid w:val="00BF4284"/>
    <w:rsid w:val="00BF5F41"/>
    <w:rsid w:val="00BF67E4"/>
    <w:rsid w:val="00BF6E2C"/>
    <w:rsid w:val="00C00FEF"/>
    <w:rsid w:val="00C01655"/>
    <w:rsid w:val="00C0376D"/>
    <w:rsid w:val="00C03A8D"/>
    <w:rsid w:val="00C05249"/>
    <w:rsid w:val="00C0597B"/>
    <w:rsid w:val="00C05B12"/>
    <w:rsid w:val="00C05DB9"/>
    <w:rsid w:val="00C05EE0"/>
    <w:rsid w:val="00C07445"/>
    <w:rsid w:val="00C07506"/>
    <w:rsid w:val="00C11EE3"/>
    <w:rsid w:val="00C12999"/>
    <w:rsid w:val="00C12D51"/>
    <w:rsid w:val="00C15DE6"/>
    <w:rsid w:val="00C16ABC"/>
    <w:rsid w:val="00C16B76"/>
    <w:rsid w:val="00C172FC"/>
    <w:rsid w:val="00C20DD4"/>
    <w:rsid w:val="00C22663"/>
    <w:rsid w:val="00C23FD9"/>
    <w:rsid w:val="00C241D9"/>
    <w:rsid w:val="00C25E03"/>
    <w:rsid w:val="00C26A00"/>
    <w:rsid w:val="00C32023"/>
    <w:rsid w:val="00C35986"/>
    <w:rsid w:val="00C370A9"/>
    <w:rsid w:val="00C3756C"/>
    <w:rsid w:val="00C40DF5"/>
    <w:rsid w:val="00C41E6E"/>
    <w:rsid w:val="00C436B1"/>
    <w:rsid w:val="00C45521"/>
    <w:rsid w:val="00C45C67"/>
    <w:rsid w:val="00C46885"/>
    <w:rsid w:val="00C47619"/>
    <w:rsid w:val="00C47F7F"/>
    <w:rsid w:val="00C5000D"/>
    <w:rsid w:val="00C5031F"/>
    <w:rsid w:val="00C524C7"/>
    <w:rsid w:val="00C52D7A"/>
    <w:rsid w:val="00C550DB"/>
    <w:rsid w:val="00C5630D"/>
    <w:rsid w:val="00C56906"/>
    <w:rsid w:val="00C56CC6"/>
    <w:rsid w:val="00C60120"/>
    <w:rsid w:val="00C609CC"/>
    <w:rsid w:val="00C61607"/>
    <w:rsid w:val="00C61C35"/>
    <w:rsid w:val="00C66340"/>
    <w:rsid w:val="00C66A1D"/>
    <w:rsid w:val="00C67690"/>
    <w:rsid w:val="00C721A4"/>
    <w:rsid w:val="00C7235E"/>
    <w:rsid w:val="00C72C74"/>
    <w:rsid w:val="00C751B9"/>
    <w:rsid w:val="00C75412"/>
    <w:rsid w:val="00C76DC6"/>
    <w:rsid w:val="00C77926"/>
    <w:rsid w:val="00C8005F"/>
    <w:rsid w:val="00C80153"/>
    <w:rsid w:val="00C81353"/>
    <w:rsid w:val="00C82C6C"/>
    <w:rsid w:val="00C84353"/>
    <w:rsid w:val="00C85948"/>
    <w:rsid w:val="00C85B49"/>
    <w:rsid w:val="00C9080A"/>
    <w:rsid w:val="00C92B3E"/>
    <w:rsid w:val="00C93D13"/>
    <w:rsid w:val="00C94B26"/>
    <w:rsid w:val="00C95E75"/>
    <w:rsid w:val="00C9673E"/>
    <w:rsid w:val="00C96BD7"/>
    <w:rsid w:val="00CA2E51"/>
    <w:rsid w:val="00CA3B0E"/>
    <w:rsid w:val="00CA58CF"/>
    <w:rsid w:val="00CA6459"/>
    <w:rsid w:val="00CA7E34"/>
    <w:rsid w:val="00CB12A7"/>
    <w:rsid w:val="00CB23EF"/>
    <w:rsid w:val="00CB268C"/>
    <w:rsid w:val="00CB352E"/>
    <w:rsid w:val="00CB3CB9"/>
    <w:rsid w:val="00CB3E0E"/>
    <w:rsid w:val="00CB4173"/>
    <w:rsid w:val="00CB4603"/>
    <w:rsid w:val="00CB5F47"/>
    <w:rsid w:val="00CB6030"/>
    <w:rsid w:val="00CB69C1"/>
    <w:rsid w:val="00CB79D5"/>
    <w:rsid w:val="00CC021B"/>
    <w:rsid w:val="00CC0CC7"/>
    <w:rsid w:val="00CC6520"/>
    <w:rsid w:val="00CD0A75"/>
    <w:rsid w:val="00CD19D0"/>
    <w:rsid w:val="00CD1AA1"/>
    <w:rsid w:val="00CD300E"/>
    <w:rsid w:val="00CD3639"/>
    <w:rsid w:val="00CD3EF5"/>
    <w:rsid w:val="00CD56B1"/>
    <w:rsid w:val="00CD59BC"/>
    <w:rsid w:val="00CD625D"/>
    <w:rsid w:val="00CD723F"/>
    <w:rsid w:val="00CE10E1"/>
    <w:rsid w:val="00CE4A19"/>
    <w:rsid w:val="00CE604C"/>
    <w:rsid w:val="00CE761D"/>
    <w:rsid w:val="00CF0198"/>
    <w:rsid w:val="00CF0490"/>
    <w:rsid w:val="00CF41D7"/>
    <w:rsid w:val="00CF41FA"/>
    <w:rsid w:val="00CF7C76"/>
    <w:rsid w:val="00D00F73"/>
    <w:rsid w:val="00D01084"/>
    <w:rsid w:val="00D02083"/>
    <w:rsid w:val="00D03AB7"/>
    <w:rsid w:val="00D05DAE"/>
    <w:rsid w:val="00D06083"/>
    <w:rsid w:val="00D069D7"/>
    <w:rsid w:val="00D07273"/>
    <w:rsid w:val="00D07992"/>
    <w:rsid w:val="00D10395"/>
    <w:rsid w:val="00D112A8"/>
    <w:rsid w:val="00D1217E"/>
    <w:rsid w:val="00D1278F"/>
    <w:rsid w:val="00D13902"/>
    <w:rsid w:val="00D13C91"/>
    <w:rsid w:val="00D15704"/>
    <w:rsid w:val="00D15A12"/>
    <w:rsid w:val="00D15FB2"/>
    <w:rsid w:val="00D1784A"/>
    <w:rsid w:val="00D17B77"/>
    <w:rsid w:val="00D2000F"/>
    <w:rsid w:val="00D2046D"/>
    <w:rsid w:val="00D208AC"/>
    <w:rsid w:val="00D2251E"/>
    <w:rsid w:val="00D23322"/>
    <w:rsid w:val="00D26F6A"/>
    <w:rsid w:val="00D313AD"/>
    <w:rsid w:val="00D32682"/>
    <w:rsid w:val="00D33286"/>
    <w:rsid w:val="00D34D75"/>
    <w:rsid w:val="00D36195"/>
    <w:rsid w:val="00D36C27"/>
    <w:rsid w:val="00D41CB2"/>
    <w:rsid w:val="00D4666A"/>
    <w:rsid w:val="00D506C9"/>
    <w:rsid w:val="00D55B6D"/>
    <w:rsid w:val="00D55C58"/>
    <w:rsid w:val="00D61E04"/>
    <w:rsid w:val="00D62699"/>
    <w:rsid w:val="00D6414B"/>
    <w:rsid w:val="00D66464"/>
    <w:rsid w:val="00D6656F"/>
    <w:rsid w:val="00D6697E"/>
    <w:rsid w:val="00D67F1D"/>
    <w:rsid w:val="00D72771"/>
    <w:rsid w:val="00D72FC3"/>
    <w:rsid w:val="00D74C78"/>
    <w:rsid w:val="00D75350"/>
    <w:rsid w:val="00D8149F"/>
    <w:rsid w:val="00D82DC1"/>
    <w:rsid w:val="00D86899"/>
    <w:rsid w:val="00D919EF"/>
    <w:rsid w:val="00D93583"/>
    <w:rsid w:val="00D95482"/>
    <w:rsid w:val="00D957AC"/>
    <w:rsid w:val="00DA1965"/>
    <w:rsid w:val="00DA3074"/>
    <w:rsid w:val="00DA3E3E"/>
    <w:rsid w:val="00DA4186"/>
    <w:rsid w:val="00DA569C"/>
    <w:rsid w:val="00DA5F24"/>
    <w:rsid w:val="00DB027A"/>
    <w:rsid w:val="00DB1FC1"/>
    <w:rsid w:val="00DB2F35"/>
    <w:rsid w:val="00DB4A0D"/>
    <w:rsid w:val="00DB6732"/>
    <w:rsid w:val="00DC7169"/>
    <w:rsid w:val="00DD4161"/>
    <w:rsid w:val="00DD4964"/>
    <w:rsid w:val="00DD554D"/>
    <w:rsid w:val="00DD580E"/>
    <w:rsid w:val="00DD5DAF"/>
    <w:rsid w:val="00DD6C6C"/>
    <w:rsid w:val="00DD7FD4"/>
    <w:rsid w:val="00DE0ACC"/>
    <w:rsid w:val="00DE2AB6"/>
    <w:rsid w:val="00DE67D1"/>
    <w:rsid w:val="00DF0AAB"/>
    <w:rsid w:val="00DF22F1"/>
    <w:rsid w:val="00DF44FF"/>
    <w:rsid w:val="00DF4926"/>
    <w:rsid w:val="00DF4E9C"/>
    <w:rsid w:val="00DF5244"/>
    <w:rsid w:val="00DF63F8"/>
    <w:rsid w:val="00E02326"/>
    <w:rsid w:val="00E02697"/>
    <w:rsid w:val="00E05EF1"/>
    <w:rsid w:val="00E06197"/>
    <w:rsid w:val="00E06C6F"/>
    <w:rsid w:val="00E07164"/>
    <w:rsid w:val="00E07824"/>
    <w:rsid w:val="00E07C9F"/>
    <w:rsid w:val="00E10A14"/>
    <w:rsid w:val="00E141CE"/>
    <w:rsid w:val="00E17FDF"/>
    <w:rsid w:val="00E20A88"/>
    <w:rsid w:val="00E22AA3"/>
    <w:rsid w:val="00E23C06"/>
    <w:rsid w:val="00E2703E"/>
    <w:rsid w:val="00E27C5F"/>
    <w:rsid w:val="00E305C2"/>
    <w:rsid w:val="00E3065C"/>
    <w:rsid w:val="00E32016"/>
    <w:rsid w:val="00E32711"/>
    <w:rsid w:val="00E33176"/>
    <w:rsid w:val="00E3376B"/>
    <w:rsid w:val="00E3505D"/>
    <w:rsid w:val="00E354CE"/>
    <w:rsid w:val="00E35E15"/>
    <w:rsid w:val="00E423E1"/>
    <w:rsid w:val="00E4350A"/>
    <w:rsid w:val="00E46E70"/>
    <w:rsid w:val="00E478DC"/>
    <w:rsid w:val="00E47990"/>
    <w:rsid w:val="00E50B81"/>
    <w:rsid w:val="00E5186A"/>
    <w:rsid w:val="00E51F3E"/>
    <w:rsid w:val="00E55DD0"/>
    <w:rsid w:val="00E55E81"/>
    <w:rsid w:val="00E56CE4"/>
    <w:rsid w:val="00E57236"/>
    <w:rsid w:val="00E5772C"/>
    <w:rsid w:val="00E57C1A"/>
    <w:rsid w:val="00E61366"/>
    <w:rsid w:val="00E640A7"/>
    <w:rsid w:val="00E6562F"/>
    <w:rsid w:val="00E6594B"/>
    <w:rsid w:val="00E65F6A"/>
    <w:rsid w:val="00E66AD3"/>
    <w:rsid w:val="00E66BA2"/>
    <w:rsid w:val="00E66EB9"/>
    <w:rsid w:val="00E66F69"/>
    <w:rsid w:val="00E670A2"/>
    <w:rsid w:val="00E675B9"/>
    <w:rsid w:val="00E67664"/>
    <w:rsid w:val="00E70105"/>
    <w:rsid w:val="00E704C7"/>
    <w:rsid w:val="00E70984"/>
    <w:rsid w:val="00E72C49"/>
    <w:rsid w:val="00E733C0"/>
    <w:rsid w:val="00E74548"/>
    <w:rsid w:val="00E7609D"/>
    <w:rsid w:val="00E76F76"/>
    <w:rsid w:val="00E822AC"/>
    <w:rsid w:val="00E829F9"/>
    <w:rsid w:val="00E87659"/>
    <w:rsid w:val="00E906F3"/>
    <w:rsid w:val="00E9144D"/>
    <w:rsid w:val="00E914DA"/>
    <w:rsid w:val="00E9164C"/>
    <w:rsid w:val="00E92B16"/>
    <w:rsid w:val="00E94E7C"/>
    <w:rsid w:val="00E954D6"/>
    <w:rsid w:val="00E956CE"/>
    <w:rsid w:val="00E967FE"/>
    <w:rsid w:val="00EA250C"/>
    <w:rsid w:val="00EA447D"/>
    <w:rsid w:val="00EA52B0"/>
    <w:rsid w:val="00EA60A5"/>
    <w:rsid w:val="00EA7162"/>
    <w:rsid w:val="00EB0D5C"/>
    <w:rsid w:val="00EB298A"/>
    <w:rsid w:val="00EB2E18"/>
    <w:rsid w:val="00EB3BE9"/>
    <w:rsid w:val="00EB3DFA"/>
    <w:rsid w:val="00EB3F8A"/>
    <w:rsid w:val="00EC0865"/>
    <w:rsid w:val="00EC1499"/>
    <w:rsid w:val="00EC3898"/>
    <w:rsid w:val="00EC4EEB"/>
    <w:rsid w:val="00EC5A1F"/>
    <w:rsid w:val="00EC658A"/>
    <w:rsid w:val="00ED05FF"/>
    <w:rsid w:val="00ED0ED1"/>
    <w:rsid w:val="00ED23C0"/>
    <w:rsid w:val="00ED411C"/>
    <w:rsid w:val="00ED5815"/>
    <w:rsid w:val="00ED6015"/>
    <w:rsid w:val="00EE0F9D"/>
    <w:rsid w:val="00EE1F1B"/>
    <w:rsid w:val="00EE25F3"/>
    <w:rsid w:val="00EE278D"/>
    <w:rsid w:val="00EE6A37"/>
    <w:rsid w:val="00EF157B"/>
    <w:rsid w:val="00EF20D7"/>
    <w:rsid w:val="00EF32AF"/>
    <w:rsid w:val="00EF645D"/>
    <w:rsid w:val="00F00BB4"/>
    <w:rsid w:val="00F033FD"/>
    <w:rsid w:val="00F065BE"/>
    <w:rsid w:val="00F06CE0"/>
    <w:rsid w:val="00F16B38"/>
    <w:rsid w:val="00F219A9"/>
    <w:rsid w:val="00F24E08"/>
    <w:rsid w:val="00F2590C"/>
    <w:rsid w:val="00F265AB"/>
    <w:rsid w:val="00F3056A"/>
    <w:rsid w:val="00F32F24"/>
    <w:rsid w:val="00F335A4"/>
    <w:rsid w:val="00F339E4"/>
    <w:rsid w:val="00F34027"/>
    <w:rsid w:val="00F346A1"/>
    <w:rsid w:val="00F35A84"/>
    <w:rsid w:val="00F37015"/>
    <w:rsid w:val="00F37238"/>
    <w:rsid w:val="00F37BB0"/>
    <w:rsid w:val="00F400E6"/>
    <w:rsid w:val="00F40160"/>
    <w:rsid w:val="00F406C6"/>
    <w:rsid w:val="00F409A7"/>
    <w:rsid w:val="00F40B7C"/>
    <w:rsid w:val="00F421FE"/>
    <w:rsid w:val="00F43999"/>
    <w:rsid w:val="00F44E2C"/>
    <w:rsid w:val="00F45479"/>
    <w:rsid w:val="00F45879"/>
    <w:rsid w:val="00F45C59"/>
    <w:rsid w:val="00F4623C"/>
    <w:rsid w:val="00F52EC9"/>
    <w:rsid w:val="00F5419E"/>
    <w:rsid w:val="00F554AC"/>
    <w:rsid w:val="00F55B08"/>
    <w:rsid w:val="00F57D99"/>
    <w:rsid w:val="00F61557"/>
    <w:rsid w:val="00F65559"/>
    <w:rsid w:val="00F6708C"/>
    <w:rsid w:val="00F70A5C"/>
    <w:rsid w:val="00F70CE0"/>
    <w:rsid w:val="00F73844"/>
    <w:rsid w:val="00F74314"/>
    <w:rsid w:val="00F7517C"/>
    <w:rsid w:val="00F75502"/>
    <w:rsid w:val="00F7776A"/>
    <w:rsid w:val="00F81A12"/>
    <w:rsid w:val="00F8246C"/>
    <w:rsid w:val="00F82A58"/>
    <w:rsid w:val="00F85C6B"/>
    <w:rsid w:val="00F90D21"/>
    <w:rsid w:val="00F91898"/>
    <w:rsid w:val="00F927E6"/>
    <w:rsid w:val="00F93B8E"/>
    <w:rsid w:val="00F94260"/>
    <w:rsid w:val="00F9598D"/>
    <w:rsid w:val="00F977F8"/>
    <w:rsid w:val="00F97871"/>
    <w:rsid w:val="00FA2295"/>
    <w:rsid w:val="00FA2308"/>
    <w:rsid w:val="00FA360F"/>
    <w:rsid w:val="00FA63E1"/>
    <w:rsid w:val="00FA68D2"/>
    <w:rsid w:val="00FB0678"/>
    <w:rsid w:val="00FB09A0"/>
    <w:rsid w:val="00FB6BD7"/>
    <w:rsid w:val="00FB79C1"/>
    <w:rsid w:val="00FC1583"/>
    <w:rsid w:val="00FC1804"/>
    <w:rsid w:val="00FC31A0"/>
    <w:rsid w:val="00FC4AAF"/>
    <w:rsid w:val="00FC7187"/>
    <w:rsid w:val="00FD0115"/>
    <w:rsid w:val="00FD0C51"/>
    <w:rsid w:val="00FD0E20"/>
    <w:rsid w:val="00FD3C3E"/>
    <w:rsid w:val="00FD5E2A"/>
    <w:rsid w:val="00FD689C"/>
    <w:rsid w:val="00FD7DA4"/>
    <w:rsid w:val="00FD7FED"/>
    <w:rsid w:val="00FE1386"/>
    <w:rsid w:val="00FE151F"/>
    <w:rsid w:val="00FE55FF"/>
    <w:rsid w:val="00FE635B"/>
    <w:rsid w:val="00FE6DA6"/>
    <w:rsid w:val="00FE716F"/>
    <w:rsid w:val="00FE7546"/>
    <w:rsid w:val="00FE78A8"/>
    <w:rsid w:val="00FF0684"/>
    <w:rsid w:val="00FF19EA"/>
    <w:rsid w:val="00FF1E54"/>
    <w:rsid w:val="00FF3A21"/>
    <w:rsid w:val="00FF3F1B"/>
    <w:rsid w:val="00FF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F285"/>
  <w15:docId w15:val="{376C8B1B-B9B2-440D-A0A9-CD1E8E9B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spacing w:before="240" w:after="60" w:line="259" w:lineRule="auto"/>
      <w:outlineLvl w:val="1"/>
    </w:pPr>
    <w:rPr>
      <w:rFonts w:ascii="Source Sans Pro" w:eastAsia="Source Sans Pro" w:hAnsi="Source Sans Pro" w:cs="Source Sans Pro"/>
      <w:sz w:val="24"/>
      <w:szCs w:val="24"/>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47"/>
    <w:rPr>
      <w:rFonts w:ascii="Tahoma" w:hAnsi="Tahoma" w:cs="Tahoma"/>
      <w:sz w:val="16"/>
      <w:szCs w:val="16"/>
    </w:rPr>
  </w:style>
  <w:style w:type="character" w:styleId="Hyperlink">
    <w:name w:val="Hyperlink"/>
    <w:basedOn w:val="DefaultParagraphFont"/>
    <w:uiPriority w:val="99"/>
    <w:unhideWhenUsed/>
    <w:rsid w:val="00AB138B"/>
    <w:rPr>
      <w:color w:val="0563C1"/>
      <w:u w:val="single"/>
    </w:rPr>
  </w:style>
  <w:style w:type="character" w:styleId="FollowedHyperlink">
    <w:name w:val="FollowedHyperlink"/>
    <w:basedOn w:val="DefaultParagraphFont"/>
    <w:uiPriority w:val="99"/>
    <w:semiHidden/>
    <w:unhideWhenUsed/>
    <w:rsid w:val="00AB138B"/>
    <w:rPr>
      <w:color w:val="800080" w:themeColor="followedHyperlink"/>
      <w:u w:val="single"/>
    </w:rPr>
  </w:style>
  <w:style w:type="paragraph" w:styleId="ListParagraph">
    <w:name w:val="List Paragraph"/>
    <w:basedOn w:val="Normal"/>
    <w:uiPriority w:val="99"/>
    <w:qFormat/>
    <w:rsid w:val="00AB138B"/>
    <w:pPr>
      <w:ind w:left="720"/>
      <w:contextualSpacing/>
    </w:pPr>
  </w:style>
  <w:style w:type="character" w:customStyle="1" w:styleId="st">
    <w:name w:val="st"/>
    <w:basedOn w:val="DefaultParagraphFont"/>
    <w:rsid w:val="00AB138B"/>
  </w:style>
  <w:style w:type="character" w:styleId="Emphasis">
    <w:name w:val="Emphasis"/>
    <w:basedOn w:val="DefaultParagraphFont"/>
    <w:uiPriority w:val="20"/>
    <w:qFormat/>
    <w:rsid w:val="00AB138B"/>
    <w:rPr>
      <w:i/>
      <w:iCs/>
    </w:rPr>
  </w:style>
  <w:style w:type="paragraph" w:customStyle="1" w:styleId="Default">
    <w:name w:val="Default"/>
    <w:rsid w:val="00A328AE"/>
    <w:pPr>
      <w:autoSpaceDE w:val="0"/>
      <w:autoSpaceDN w:val="0"/>
      <w:adjustRightInd w:val="0"/>
      <w:spacing w:after="0" w:line="240" w:lineRule="auto"/>
    </w:pPr>
    <w:rPr>
      <w:color w:val="000000"/>
      <w:sz w:val="24"/>
      <w:szCs w:val="24"/>
    </w:rPr>
  </w:style>
  <w:style w:type="paragraph" w:styleId="CommentSubject">
    <w:name w:val="annotation subject"/>
    <w:basedOn w:val="CommentText"/>
    <w:next w:val="CommentText"/>
    <w:link w:val="CommentSubjectChar"/>
    <w:uiPriority w:val="99"/>
    <w:semiHidden/>
    <w:unhideWhenUsed/>
    <w:rsid w:val="00E07164"/>
    <w:rPr>
      <w:b/>
      <w:bCs/>
    </w:rPr>
  </w:style>
  <w:style w:type="character" w:customStyle="1" w:styleId="CommentSubjectChar">
    <w:name w:val="Comment Subject Char"/>
    <w:basedOn w:val="CommentTextChar"/>
    <w:link w:val="CommentSubject"/>
    <w:uiPriority w:val="99"/>
    <w:semiHidden/>
    <w:rsid w:val="00E07164"/>
    <w:rPr>
      <w:b/>
      <w:bCs/>
      <w:sz w:val="20"/>
      <w:szCs w:val="20"/>
    </w:rPr>
  </w:style>
  <w:style w:type="character" w:styleId="UnresolvedMention">
    <w:name w:val="Unresolved Mention"/>
    <w:basedOn w:val="DefaultParagraphFont"/>
    <w:uiPriority w:val="99"/>
    <w:semiHidden/>
    <w:unhideWhenUsed/>
    <w:rsid w:val="00E07164"/>
    <w:rPr>
      <w:color w:val="605E5C"/>
      <w:shd w:val="clear" w:color="auto" w:fill="E1DFDD"/>
    </w:rPr>
  </w:style>
  <w:style w:type="paragraph" w:styleId="NoSpacing">
    <w:name w:val="No Spacing"/>
    <w:uiPriority w:val="1"/>
    <w:qFormat/>
    <w:rsid w:val="00DD5DAF"/>
    <w:pPr>
      <w:spacing w:after="0" w:line="240" w:lineRule="auto"/>
    </w:pPr>
  </w:style>
  <w:style w:type="paragraph" w:styleId="FootnoteText">
    <w:name w:val="footnote text"/>
    <w:basedOn w:val="Normal"/>
    <w:link w:val="FootnoteTextChar"/>
    <w:uiPriority w:val="99"/>
    <w:semiHidden/>
    <w:unhideWhenUsed/>
    <w:rsid w:val="00FD5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E2A"/>
    <w:rPr>
      <w:sz w:val="20"/>
      <w:szCs w:val="20"/>
    </w:rPr>
  </w:style>
  <w:style w:type="character" w:styleId="FootnoteReference">
    <w:name w:val="footnote reference"/>
    <w:basedOn w:val="DefaultParagraphFont"/>
    <w:uiPriority w:val="99"/>
    <w:semiHidden/>
    <w:unhideWhenUsed/>
    <w:rsid w:val="00FD5E2A"/>
    <w:rPr>
      <w:vertAlign w:val="superscript"/>
    </w:rPr>
  </w:style>
  <w:style w:type="table" w:styleId="TableGrid">
    <w:name w:val="Table Grid"/>
    <w:basedOn w:val="TableNormal"/>
    <w:uiPriority w:val="59"/>
    <w:rsid w:val="00B1299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187"/>
    <w:pPr>
      <w:spacing w:after="0" w:line="240" w:lineRule="auto"/>
    </w:pPr>
  </w:style>
  <w:style w:type="paragraph" w:customStyle="1" w:styleId="xmsonormal">
    <w:name w:val="x_msonormal"/>
    <w:basedOn w:val="Normal"/>
    <w:rsid w:val="00151EC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9769">
      <w:bodyDiv w:val="1"/>
      <w:marLeft w:val="0"/>
      <w:marRight w:val="0"/>
      <w:marTop w:val="0"/>
      <w:marBottom w:val="0"/>
      <w:divBdr>
        <w:top w:val="none" w:sz="0" w:space="0" w:color="auto"/>
        <w:left w:val="none" w:sz="0" w:space="0" w:color="auto"/>
        <w:bottom w:val="none" w:sz="0" w:space="0" w:color="auto"/>
        <w:right w:val="none" w:sz="0" w:space="0" w:color="auto"/>
      </w:divBdr>
    </w:div>
    <w:div w:id="436414244">
      <w:bodyDiv w:val="1"/>
      <w:marLeft w:val="0"/>
      <w:marRight w:val="0"/>
      <w:marTop w:val="0"/>
      <w:marBottom w:val="0"/>
      <w:divBdr>
        <w:top w:val="none" w:sz="0" w:space="0" w:color="auto"/>
        <w:left w:val="none" w:sz="0" w:space="0" w:color="auto"/>
        <w:bottom w:val="none" w:sz="0" w:space="0" w:color="auto"/>
        <w:right w:val="none" w:sz="0" w:space="0" w:color="auto"/>
      </w:divBdr>
    </w:div>
    <w:div w:id="520818676">
      <w:bodyDiv w:val="1"/>
      <w:marLeft w:val="0"/>
      <w:marRight w:val="0"/>
      <w:marTop w:val="0"/>
      <w:marBottom w:val="0"/>
      <w:divBdr>
        <w:top w:val="none" w:sz="0" w:space="0" w:color="auto"/>
        <w:left w:val="none" w:sz="0" w:space="0" w:color="auto"/>
        <w:bottom w:val="none" w:sz="0" w:space="0" w:color="auto"/>
        <w:right w:val="none" w:sz="0" w:space="0" w:color="auto"/>
      </w:divBdr>
    </w:div>
    <w:div w:id="527260640">
      <w:bodyDiv w:val="1"/>
      <w:marLeft w:val="0"/>
      <w:marRight w:val="0"/>
      <w:marTop w:val="0"/>
      <w:marBottom w:val="0"/>
      <w:divBdr>
        <w:top w:val="none" w:sz="0" w:space="0" w:color="auto"/>
        <w:left w:val="none" w:sz="0" w:space="0" w:color="auto"/>
        <w:bottom w:val="none" w:sz="0" w:space="0" w:color="auto"/>
        <w:right w:val="none" w:sz="0" w:space="0" w:color="auto"/>
      </w:divBdr>
    </w:div>
    <w:div w:id="1316883386">
      <w:bodyDiv w:val="1"/>
      <w:marLeft w:val="0"/>
      <w:marRight w:val="0"/>
      <w:marTop w:val="0"/>
      <w:marBottom w:val="0"/>
      <w:divBdr>
        <w:top w:val="none" w:sz="0" w:space="0" w:color="auto"/>
        <w:left w:val="none" w:sz="0" w:space="0" w:color="auto"/>
        <w:bottom w:val="none" w:sz="0" w:space="0" w:color="auto"/>
        <w:right w:val="none" w:sz="0" w:space="0" w:color="auto"/>
      </w:divBdr>
    </w:div>
    <w:div w:id="142044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haeologists.net/sites/default/files/Voluntary%20and%20community%20archaeology%20specialist%20competence%20matrix_Oct%2020.pdf" TargetMode="External"/><Relationship Id="rId18" Type="http://schemas.openxmlformats.org/officeDocument/2006/relationships/hyperlink" Target="https://www.archaeologists.net/sites/default/files/Policy%20statements%20revised%20Jan%20202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rchaeologists.net/sites/default/files/Public%20benefit%20leaflet.pdf" TargetMode="External"/><Relationship Id="rId17" Type="http://schemas.openxmlformats.org/officeDocument/2006/relationships/hyperlink" Target="https://historicengland.org.uk/images-books/publications/wellbeing-and-the-historic-environment/wellbeing-and-historic-environment/" TargetMode="External"/><Relationship Id="rId2" Type="http://schemas.openxmlformats.org/officeDocument/2006/relationships/customXml" Target="../customXml/item2.xml"/><Relationship Id="rId16" Type="http://schemas.openxmlformats.org/officeDocument/2006/relationships/hyperlink" Target="https://www.archaeologists.net/sites/default/files/7090FinalReport.compress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aeologists.net/codes/cifa" TargetMode="External"/><Relationship Id="rId5" Type="http://schemas.openxmlformats.org/officeDocument/2006/relationships/numbering" Target="numbering.xml"/><Relationship Id="rId15" Type="http://schemas.openxmlformats.org/officeDocument/2006/relationships/hyperlink" Target="https://historicengland.org.uk/about/who-we-are/heritage-belongs-to-everyon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aeologists.net/sites/default/files/projects/21CAP%20work%20package%20update%20August%2020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chaeologists.net/sites/default/files/CIfAS%26GStewardship_3.pdf" TargetMode="External"/><Relationship Id="rId2" Type="http://schemas.openxmlformats.org/officeDocument/2006/relationships/hyperlink" Target="https://www.archaeologists.net/sites/default/files/CIfAS%26GExcavation_2.pdf" TargetMode="External"/><Relationship Id="rId1" Type="http://schemas.openxmlformats.org/officeDocument/2006/relationships/hyperlink" Target="https://www.archaeologists.net/sites/default/files/Policy%20statements%20revised%20Aug%202018.pdf" TargetMode="External"/><Relationship Id="rId6" Type="http://schemas.openxmlformats.org/officeDocument/2006/relationships/hyperlink" Target="https://www.archaeologists.net/sites/default/files/projects/21st-century%20Challenges%20for%20Archaeology%20project%20report%20October%202018.pdf" TargetMode="External"/><Relationship Id="rId5" Type="http://schemas.openxmlformats.org/officeDocument/2006/relationships/hyperlink" Target="http://www.archaeologists.net/publications/reports" TargetMode="External"/><Relationship Id="rId4" Type="http://schemas.openxmlformats.org/officeDocument/2006/relationships/hyperlink" Target="https://www.archaeologists.net/sites/default/files/CIfAS%26GArchadvic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3" ma:contentTypeDescription="Create a new document." ma:contentTypeScope="" ma:versionID="2c3520a6f1f1c9e08204ab03022a3710">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6cba1b1b0d21a7d93ffa85df2367d9a6"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97846-E7B7-4EC6-8F09-90F9C142D519}">
  <ds:schemaRefs>
    <ds:schemaRef ds:uri="http://schemas.microsoft.com/sharepoint/v3/contenttype/forms"/>
  </ds:schemaRefs>
</ds:datastoreItem>
</file>

<file path=customXml/itemProps2.xml><?xml version="1.0" encoding="utf-8"?>
<ds:datastoreItem xmlns:ds="http://schemas.openxmlformats.org/officeDocument/2006/customXml" ds:itemID="{AC33DC2B-FB61-4BFD-87CC-6135D9663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C9969-3032-4521-BF04-23A366FDF5E4}">
  <ds:schemaRefs>
    <ds:schemaRef ds:uri="http://schemas.openxmlformats.org/officeDocument/2006/bibliography"/>
  </ds:schemaRefs>
</ds:datastoreItem>
</file>

<file path=customXml/itemProps4.xml><?xml version="1.0" encoding="utf-8"?>
<ds:datastoreItem xmlns:ds="http://schemas.openxmlformats.org/officeDocument/2006/customXml" ds:itemID="{7C152C3B-A73D-43C1-956A-B3BEB84756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5806</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Miles, Daniel</dc:creator>
  <cp:lastModifiedBy>Cara Jones</cp:lastModifiedBy>
  <cp:revision>11</cp:revision>
  <dcterms:created xsi:type="dcterms:W3CDTF">2022-03-03T10:34:00Z</dcterms:created>
  <dcterms:modified xsi:type="dcterms:W3CDTF">2022-06-23T08:48:00Z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ies>
</file>