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left w:val="nil"/>
          <w:bottom w:val="nil"/>
          <w:right w:val="nil"/>
        </w:tblBorders>
        <w:tblLayout w:type="fixed"/>
        <w:tblLook w:val="0000" w:firstRow="0" w:lastRow="0" w:firstColumn="0" w:lastColumn="0" w:noHBand="0" w:noVBand="0"/>
      </w:tblPr>
      <w:tblGrid>
        <w:gridCol w:w="5558"/>
      </w:tblGrid>
      <w:tr w:rsidR="00B20299" w:rsidRPr="00170453">
        <w:tblPrEx>
          <w:tblCellMar>
            <w:top w:w="0" w:type="dxa"/>
            <w:bottom w:w="0" w:type="dxa"/>
          </w:tblCellMar>
        </w:tblPrEx>
        <w:trPr>
          <w:trHeight w:val="802"/>
        </w:trPr>
        <w:tc>
          <w:tcPr>
            <w:tcW w:w="5558" w:type="dxa"/>
          </w:tcPr>
          <w:p w:rsidR="00170453" w:rsidRPr="00170453" w:rsidRDefault="00170453" w:rsidP="00170453">
            <w:pPr>
              <w:rPr>
                <w:rFonts w:asciiTheme="minorHAnsi" w:hAnsiTheme="minorHAnsi"/>
                <w:lang w:val="en-GB" w:eastAsia="en-GB"/>
              </w:rPr>
            </w:pPr>
            <w:r w:rsidRPr="00170453">
              <w:rPr>
                <w:rFonts w:asciiTheme="minorHAnsi" w:hAnsiTheme="minorHAnsi" w:cs="Arial"/>
                <w:bCs/>
                <w:lang w:eastAsia="en-GB"/>
              </w:rPr>
              <w:t>Rebecca Lane</w:t>
            </w:r>
          </w:p>
          <w:p w:rsidR="00170453" w:rsidRPr="00170453" w:rsidRDefault="00170453" w:rsidP="00170453">
            <w:pPr>
              <w:rPr>
                <w:rFonts w:asciiTheme="minorHAnsi" w:hAnsiTheme="minorHAnsi"/>
                <w:lang w:eastAsia="en-GB"/>
              </w:rPr>
            </w:pPr>
            <w:r w:rsidRPr="00170453">
              <w:rPr>
                <w:rFonts w:asciiTheme="minorHAnsi" w:hAnsiTheme="minorHAnsi" w:cs="Arial"/>
                <w:lang w:eastAsia="en-GB"/>
              </w:rPr>
              <w:t>Investigator</w:t>
            </w:r>
          </w:p>
          <w:p w:rsidR="00170453" w:rsidRPr="00170453" w:rsidRDefault="00170453" w:rsidP="00170453">
            <w:pPr>
              <w:rPr>
                <w:rFonts w:asciiTheme="minorHAnsi" w:hAnsiTheme="minorHAnsi"/>
                <w:lang w:eastAsia="en-GB"/>
              </w:rPr>
            </w:pPr>
            <w:r w:rsidRPr="00170453">
              <w:rPr>
                <w:rFonts w:asciiTheme="minorHAnsi" w:hAnsiTheme="minorHAnsi" w:cs="Arial"/>
                <w:lang w:eastAsia="en-GB"/>
              </w:rPr>
              <w:t>Assessment Team (West)</w:t>
            </w:r>
          </w:p>
          <w:p w:rsidR="00170453" w:rsidRPr="00170453" w:rsidRDefault="00170453" w:rsidP="00170453">
            <w:pPr>
              <w:rPr>
                <w:rFonts w:asciiTheme="minorHAnsi" w:hAnsiTheme="minorHAnsi" w:cs="Arial"/>
                <w:lang w:eastAsia="en-GB"/>
              </w:rPr>
            </w:pPr>
            <w:r w:rsidRPr="00170453">
              <w:rPr>
                <w:rFonts w:asciiTheme="minorHAnsi" w:hAnsiTheme="minorHAnsi" w:cs="Arial"/>
                <w:lang w:eastAsia="en-GB"/>
              </w:rPr>
              <w:t>Historic England</w:t>
            </w:r>
          </w:p>
          <w:p w:rsidR="00170453" w:rsidRPr="00170453" w:rsidRDefault="00170453" w:rsidP="00170453">
            <w:pPr>
              <w:rPr>
                <w:rFonts w:asciiTheme="minorHAnsi" w:hAnsiTheme="minorHAnsi" w:cs="Arial"/>
                <w:lang w:eastAsia="en-GB"/>
              </w:rPr>
            </w:pPr>
          </w:p>
          <w:p w:rsidR="00170453" w:rsidRPr="00170453" w:rsidRDefault="00170453" w:rsidP="00170453">
            <w:pPr>
              <w:rPr>
                <w:rFonts w:asciiTheme="minorHAnsi" w:hAnsiTheme="minorHAnsi"/>
                <w:lang w:eastAsia="en-GB"/>
              </w:rPr>
            </w:pPr>
            <w:r w:rsidRPr="00170453">
              <w:rPr>
                <w:rFonts w:asciiTheme="minorHAnsi" w:hAnsiTheme="minorHAnsi" w:cs="Arial"/>
                <w:lang w:eastAsia="en-GB"/>
              </w:rPr>
              <w:t>By email</w:t>
            </w:r>
          </w:p>
          <w:p w:rsidR="00B20299" w:rsidRPr="00170453" w:rsidRDefault="00B20299" w:rsidP="00170453">
            <w:pPr>
              <w:pStyle w:val="Default"/>
              <w:rPr>
                <w:rFonts w:asciiTheme="minorHAnsi" w:hAnsiTheme="minorHAnsi"/>
              </w:rPr>
            </w:pPr>
          </w:p>
        </w:tc>
      </w:tr>
    </w:tbl>
    <w:p w:rsidR="00B20299" w:rsidRPr="00170453" w:rsidRDefault="00397C5E" w:rsidP="00170453">
      <w:pPr>
        <w:pStyle w:val="Default"/>
        <w:rPr>
          <w:rFonts w:asciiTheme="minorHAnsi" w:hAnsiTheme="minorHAnsi"/>
          <w:color w:val="auto"/>
        </w:rPr>
      </w:pPr>
      <w:r w:rsidRPr="00170453">
        <w:rPr>
          <w:rFonts w:asciiTheme="minorHAnsi" w:hAnsiTheme="minorHAnsi"/>
          <w:lang w:val="en-US"/>
        </w:rPr>
        <w:t> </w:t>
      </w:r>
    </w:p>
    <w:p w:rsidR="00B20299" w:rsidRPr="00170453" w:rsidRDefault="00B20299" w:rsidP="00170453">
      <w:pPr>
        <w:pStyle w:val="Default"/>
        <w:rPr>
          <w:rFonts w:asciiTheme="minorHAnsi" w:eastAsia="Calibri" w:hAnsiTheme="minorHAnsi" w:cs="Times New Roman"/>
          <w:color w:val="auto"/>
          <w:lang w:val="en-US" w:eastAsia="en-US"/>
        </w:rPr>
      </w:pPr>
      <w:r w:rsidRPr="00170453">
        <w:rPr>
          <w:rFonts w:asciiTheme="minorHAnsi" w:eastAsia="Calibri" w:hAnsiTheme="minorHAnsi" w:cs="Times New Roman"/>
          <w:color w:val="auto"/>
          <w:lang w:val="en-US" w:eastAsia="en-US"/>
        </w:rPr>
        <w:t xml:space="preserve">  </w:t>
      </w:r>
    </w:p>
    <w:p w:rsidR="007A5122" w:rsidRPr="00170453" w:rsidRDefault="00170453" w:rsidP="00170453">
      <w:pPr>
        <w:pStyle w:val="NoSpacing"/>
        <w:rPr>
          <w:rFonts w:asciiTheme="minorHAnsi" w:hAnsiTheme="minorHAnsi" w:cs="Arial"/>
          <w:sz w:val="24"/>
          <w:szCs w:val="24"/>
        </w:rPr>
      </w:pPr>
      <w:r w:rsidRPr="00170453">
        <w:rPr>
          <w:rFonts w:asciiTheme="minorHAnsi" w:hAnsiTheme="minorHAnsi" w:cs="Arial"/>
          <w:sz w:val="24"/>
          <w:szCs w:val="24"/>
        </w:rPr>
        <w:t>19 March 2016</w:t>
      </w:r>
    </w:p>
    <w:p w:rsidR="007A5122" w:rsidRPr="00170453" w:rsidRDefault="007A5122" w:rsidP="00170453">
      <w:pPr>
        <w:pStyle w:val="NoSpacing"/>
        <w:rPr>
          <w:rFonts w:asciiTheme="minorHAnsi" w:hAnsiTheme="minorHAnsi" w:cs="Arial"/>
          <w:sz w:val="24"/>
          <w:szCs w:val="24"/>
        </w:rPr>
      </w:pPr>
    </w:p>
    <w:p w:rsidR="00170453" w:rsidRPr="00170453" w:rsidRDefault="00170453" w:rsidP="00170453">
      <w:pPr>
        <w:pStyle w:val="NoSpacing"/>
        <w:rPr>
          <w:rFonts w:asciiTheme="minorHAnsi" w:hAnsiTheme="minorHAnsi" w:cs="Arial"/>
          <w:sz w:val="24"/>
          <w:szCs w:val="24"/>
        </w:rPr>
      </w:pPr>
    </w:p>
    <w:p w:rsidR="00170453" w:rsidRPr="00170453" w:rsidRDefault="00170453" w:rsidP="00170453">
      <w:pPr>
        <w:pStyle w:val="NoSpacing"/>
        <w:rPr>
          <w:rFonts w:asciiTheme="minorHAnsi" w:hAnsiTheme="minorHAnsi" w:cs="Arial"/>
          <w:sz w:val="24"/>
          <w:szCs w:val="24"/>
        </w:rPr>
      </w:pPr>
    </w:p>
    <w:p w:rsidR="007A5122" w:rsidRPr="00170453" w:rsidRDefault="007A5122" w:rsidP="00170453">
      <w:pPr>
        <w:pStyle w:val="NoSpacing"/>
        <w:rPr>
          <w:rFonts w:asciiTheme="minorHAnsi" w:hAnsiTheme="minorHAnsi" w:cs="Arial"/>
          <w:sz w:val="24"/>
          <w:szCs w:val="24"/>
        </w:rPr>
      </w:pPr>
      <w:r w:rsidRPr="00170453">
        <w:rPr>
          <w:rFonts w:asciiTheme="minorHAnsi" w:hAnsiTheme="minorHAnsi" w:cs="Arial"/>
          <w:sz w:val="24"/>
          <w:szCs w:val="24"/>
        </w:rPr>
        <w:t xml:space="preserve">Dear </w:t>
      </w:r>
      <w:r w:rsidR="00170453" w:rsidRPr="00170453">
        <w:rPr>
          <w:rFonts w:asciiTheme="minorHAnsi" w:hAnsiTheme="minorHAnsi" w:cs="Arial"/>
          <w:sz w:val="24"/>
          <w:szCs w:val="24"/>
        </w:rPr>
        <w:t>Rebecca</w:t>
      </w:r>
    </w:p>
    <w:p w:rsidR="007A5122" w:rsidRPr="00170453" w:rsidRDefault="007A5122" w:rsidP="00170453">
      <w:pPr>
        <w:pStyle w:val="NoSpacing"/>
        <w:rPr>
          <w:rFonts w:asciiTheme="minorHAnsi" w:hAnsiTheme="minorHAnsi" w:cs="Arial"/>
          <w:sz w:val="24"/>
          <w:szCs w:val="24"/>
        </w:rPr>
      </w:pPr>
    </w:p>
    <w:p w:rsidR="00170453" w:rsidRPr="00170453" w:rsidRDefault="00B20299" w:rsidP="00170453">
      <w:pPr>
        <w:pStyle w:val="NoSpacing"/>
        <w:rPr>
          <w:rFonts w:asciiTheme="minorHAnsi" w:hAnsiTheme="minorHAnsi" w:cs="Arial"/>
          <w:b/>
          <w:sz w:val="24"/>
          <w:szCs w:val="24"/>
        </w:rPr>
      </w:pPr>
      <w:r w:rsidRPr="00170453">
        <w:rPr>
          <w:rFonts w:asciiTheme="minorHAnsi" w:hAnsiTheme="minorHAnsi" w:cs="Arial"/>
          <w:b/>
          <w:bCs/>
          <w:sz w:val="24"/>
          <w:szCs w:val="24"/>
          <w:lang w:val="en-US"/>
        </w:rPr>
        <w:t xml:space="preserve">Consultation on </w:t>
      </w:r>
      <w:r w:rsidR="00170453" w:rsidRPr="00170453">
        <w:rPr>
          <w:rFonts w:asciiTheme="minorHAnsi" w:hAnsiTheme="minorHAnsi" w:cs="Arial"/>
          <w:b/>
          <w:sz w:val="24"/>
          <w:szCs w:val="24"/>
        </w:rPr>
        <w:t>the revised draft of Historic England’s Understanding Historic Buildings. A guide to good recording practice</w:t>
      </w:r>
    </w:p>
    <w:p w:rsidR="00170453" w:rsidRPr="00170453" w:rsidRDefault="00170453" w:rsidP="00170453">
      <w:pPr>
        <w:pStyle w:val="NoSpacing"/>
        <w:rPr>
          <w:rFonts w:asciiTheme="minorHAnsi" w:hAnsiTheme="minorHAnsi" w:cs="Arial"/>
          <w:sz w:val="24"/>
          <w:szCs w:val="24"/>
        </w:rPr>
      </w:pPr>
    </w:p>
    <w:p w:rsidR="007A5122" w:rsidRPr="00170453" w:rsidRDefault="007A5122" w:rsidP="00170453">
      <w:pPr>
        <w:pStyle w:val="NoSpacing"/>
        <w:rPr>
          <w:rFonts w:asciiTheme="minorHAnsi" w:hAnsiTheme="minorHAnsi" w:cs="Arial"/>
          <w:sz w:val="24"/>
          <w:szCs w:val="24"/>
        </w:rPr>
      </w:pPr>
      <w:r w:rsidRPr="00170453">
        <w:rPr>
          <w:rFonts w:asciiTheme="minorHAnsi" w:hAnsiTheme="minorHAnsi" w:cs="Arial"/>
          <w:sz w:val="24"/>
          <w:szCs w:val="24"/>
        </w:rPr>
        <w:t xml:space="preserve">Thank you for the opportunity to comment on this </w:t>
      </w:r>
      <w:r w:rsidR="00980C65" w:rsidRPr="00170453">
        <w:rPr>
          <w:rFonts w:asciiTheme="minorHAnsi" w:hAnsiTheme="minorHAnsi" w:cs="Arial"/>
          <w:sz w:val="24"/>
          <w:szCs w:val="24"/>
        </w:rPr>
        <w:t>consultation</w:t>
      </w:r>
      <w:r w:rsidRPr="00170453">
        <w:rPr>
          <w:rFonts w:asciiTheme="minorHAnsi" w:hAnsiTheme="minorHAnsi" w:cs="Arial"/>
          <w:sz w:val="24"/>
          <w:szCs w:val="24"/>
        </w:rPr>
        <w:t xml:space="preserve">. </w:t>
      </w:r>
    </w:p>
    <w:p w:rsidR="007A5122" w:rsidRPr="00170453" w:rsidRDefault="007A5122" w:rsidP="00170453">
      <w:pPr>
        <w:pStyle w:val="NoSpacing"/>
        <w:rPr>
          <w:rFonts w:asciiTheme="minorHAnsi" w:hAnsiTheme="minorHAnsi" w:cs="Arial"/>
          <w:sz w:val="24"/>
          <w:szCs w:val="24"/>
        </w:rPr>
      </w:pPr>
    </w:p>
    <w:p w:rsidR="00980C65" w:rsidRPr="00170453" w:rsidRDefault="007A5122" w:rsidP="00170453">
      <w:pPr>
        <w:pStyle w:val="NoSpacing"/>
        <w:rPr>
          <w:rFonts w:asciiTheme="minorHAnsi" w:hAnsiTheme="minorHAnsi" w:cs="Arial"/>
          <w:sz w:val="24"/>
          <w:szCs w:val="24"/>
        </w:rPr>
      </w:pPr>
      <w:r w:rsidRPr="00170453">
        <w:rPr>
          <w:rFonts w:asciiTheme="minorHAnsi" w:hAnsiTheme="minorHAnsi" w:cs="Arial"/>
          <w:sz w:val="24"/>
          <w:szCs w:val="24"/>
          <w:lang w:val="en"/>
        </w:rPr>
        <w:t>The Chartered Institute for Archaeologists (CIfA) is a professional body for the study and care of the historic environment. It promotes best practice in archaeology and provides a self-regulatory quality assurance framework for the sector and those it serves.</w:t>
      </w:r>
      <w:r w:rsidR="00980C65" w:rsidRPr="00170453">
        <w:rPr>
          <w:rFonts w:asciiTheme="minorHAnsi" w:hAnsiTheme="minorHAnsi" w:cs="Arial"/>
          <w:sz w:val="24"/>
          <w:szCs w:val="24"/>
          <w:lang w:val="en"/>
        </w:rPr>
        <w:t xml:space="preserve"> </w:t>
      </w:r>
    </w:p>
    <w:p w:rsidR="007A5122" w:rsidRPr="00170453" w:rsidRDefault="007A5122" w:rsidP="00170453">
      <w:pPr>
        <w:pStyle w:val="NoSpacing"/>
        <w:rPr>
          <w:rFonts w:asciiTheme="minorHAnsi" w:hAnsiTheme="minorHAnsi" w:cs="Arial"/>
          <w:sz w:val="24"/>
          <w:szCs w:val="24"/>
          <w:lang w:val="en"/>
        </w:rPr>
      </w:pPr>
      <w:r w:rsidRPr="00170453">
        <w:rPr>
          <w:rFonts w:asciiTheme="minorHAnsi" w:hAnsiTheme="minorHAnsi" w:cs="Arial"/>
          <w:sz w:val="24"/>
          <w:szCs w:val="24"/>
          <w:lang w:val="en"/>
        </w:rPr>
        <w:t xml:space="preserve"> </w:t>
      </w:r>
    </w:p>
    <w:p w:rsidR="007A5122" w:rsidRDefault="007A5122" w:rsidP="00170453">
      <w:pPr>
        <w:pStyle w:val="NoSpacing"/>
        <w:rPr>
          <w:rFonts w:asciiTheme="minorHAnsi" w:hAnsiTheme="minorHAnsi" w:cs="Arial"/>
          <w:bCs/>
          <w:sz w:val="24"/>
          <w:szCs w:val="24"/>
          <w:lang w:val="en"/>
        </w:rPr>
      </w:pPr>
      <w:r w:rsidRPr="00170453">
        <w:rPr>
          <w:rFonts w:asciiTheme="minorHAnsi" w:hAnsiTheme="minorHAnsi" w:cs="Arial"/>
          <w:bCs/>
          <w:sz w:val="24"/>
          <w:szCs w:val="24"/>
          <w:lang w:val="en"/>
        </w:rPr>
        <w:t>CIfA has over 3,</w:t>
      </w:r>
      <w:r w:rsidR="00397C5E" w:rsidRPr="00170453">
        <w:rPr>
          <w:rFonts w:asciiTheme="minorHAnsi" w:hAnsiTheme="minorHAnsi" w:cs="Arial"/>
          <w:bCs/>
          <w:sz w:val="24"/>
          <w:szCs w:val="24"/>
          <w:lang w:val="en"/>
        </w:rPr>
        <w:t>20</w:t>
      </w:r>
      <w:r w:rsidRPr="00170453">
        <w:rPr>
          <w:rFonts w:asciiTheme="minorHAnsi" w:hAnsiTheme="minorHAnsi" w:cs="Arial"/>
          <w:bCs/>
          <w:sz w:val="24"/>
          <w:szCs w:val="24"/>
          <w:lang w:val="en"/>
        </w:rPr>
        <w:t xml:space="preserve">0 members and more than 70 registered practices across the United Kingdom. Its members work in all branches of the discipline: heritage management, planning advice, excavation, finds and environmental study, buildings recording, underwater and aerial archaeology, museums, conservation, survey, research and development, teaching and liaison with the community, industry and the commercial and financial sectors. </w:t>
      </w:r>
      <w:r w:rsidR="00170453">
        <w:rPr>
          <w:rFonts w:asciiTheme="minorHAnsi" w:hAnsiTheme="minorHAnsi" w:cs="Arial"/>
          <w:bCs/>
          <w:sz w:val="24"/>
          <w:szCs w:val="24"/>
          <w:lang w:val="en"/>
        </w:rPr>
        <w:t>We have circulated the revised draft to our Buildings Archaeology Group and this response is informed by their comments.</w:t>
      </w:r>
    </w:p>
    <w:p w:rsidR="00170453" w:rsidRDefault="00170453" w:rsidP="00170453">
      <w:pPr>
        <w:pStyle w:val="NoSpacing"/>
        <w:rPr>
          <w:rFonts w:asciiTheme="minorHAnsi" w:hAnsiTheme="minorHAnsi" w:cs="Arial"/>
          <w:bCs/>
          <w:sz w:val="24"/>
          <w:szCs w:val="24"/>
          <w:lang w:val="en"/>
        </w:rPr>
      </w:pPr>
    </w:p>
    <w:p w:rsidR="00351B95" w:rsidRDefault="00351B95" w:rsidP="00170453">
      <w:pPr>
        <w:pStyle w:val="NoSpacing"/>
        <w:rPr>
          <w:rFonts w:asciiTheme="minorHAnsi" w:hAnsiTheme="minorHAnsi" w:cs="Arial"/>
          <w:bCs/>
          <w:sz w:val="24"/>
          <w:szCs w:val="24"/>
          <w:lang w:val="en"/>
        </w:rPr>
      </w:pPr>
      <w:r>
        <w:rPr>
          <w:rFonts w:asciiTheme="minorHAnsi" w:hAnsiTheme="minorHAnsi" w:cs="Arial"/>
          <w:bCs/>
          <w:sz w:val="24"/>
          <w:szCs w:val="24"/>
          <w:lang w:val="en"/>
        </w:rPr>
        <w:t xml:space="preserve">We recognise that the guidance is aimed at a wide ranging audience from specialist buildings archaeologists and architectural historians to volunteers involved in recording projects and generally </w:t>
      </w:r>
      <w:r>
        <w:rPr>
          <w:rFonts w:asciiTheme="minorHAnsi" w:hAnsiTheme="minorHAnsi" w:cs="Arial"/>
          <w:bCs/>
          <w:sz w:val="24"/>
          <w:szCs w:val="24"/>
          <w:lang w:val="en"/>
        </w:rPr>
        <w:t>feel that it is clearly laid out, comprehensive and accessible.</w:t>
      </w:r>
      <w:r>
        <w:rPr>
          <w:rFonts w:asciiTheme="minorHAnsi" w:hAnsiTheme="minorHAnsi" w:cs="Arial"/>
          <w:bCs/>
          <w:sz w:val="24"/>
          <w:szCs w:val="24"/>
          <w:lang w:val="en"/>
        </w:rPr>
        <w:t xml:space="preserve"> We welcome the reference to the importance of using suitably qualified individuals in section 3.3.1 and feel that this would be strengthened by reference to suitably qualified </w:t>
      </w:r>
      <w:r w:rsidRPr="00351B95">
        <w:rPr>
          <w:rFonts w:asciiTheme="minorHAnsi" w:hAnsiTheme="minorHAnsi" w:cs="Arial"/>
          <w:bCs/>
          <w:i/>
          <w:sz w:val="24"/>
          <w:szCs w:val="24"/>
          <w:lang w:val="en"/>
        </w:rPr>
        <w:t>and accredited</w:t>
      </w:r>
      <w:r>
        <w:rPr>
          <w:rFonts w:asciiTheme="minorHAnsi" w:hAnsiTheme="minorHAnsi" w:cs="Arial"/>
          <w:bCs/>
          <w:sz w:val="24"/>
          <w:szCs w:val="24"/>
          <w:lang w:val="en"/>
        </w:rPr>
        <w:t xml:space="preserve"> individuals. A similar reference in section 4.2.5 dealing with Invasive or Destructive Techniques </w:t>
      </w:r>
      <w:r w:rsidR="00B608EE">
        <w:rPr>
          <w:rFonts w:asciiTheme="minorHAnsi" w:hAnsiTheme="minorHAnsi" w:cs="Arial"/>
          <w:bCs/>
          <w:sz w:val="24"/>
          <w:szCs w:val="24"/>
          <w:lang w:val="en"/>
        </w:rPr>
        <w:t>should also be included</w:t>
      </w:r>
      <w:r>
        <w:rPr>
          <w:rFonts w:asciiTheme="minorHAnsi" w:hAnsiTheme="minorHAnsi" w:cs="Arial"/>
          <w:bCs/>
          <w:sz w:val="24"/>
          <w:szCs w:val="24"/>
          <w:lang w:val="en"/>
        </w:rPr>
        <w:t xml:space="preserve">. </w:t>
      </w:r>
    </w:p>
    <w:p w:rsidR="00351B95" w:rsidRDefault="00351B95" w:rsidP="00170453">
      <w:pPr>
        <w:pStyle w:val="NoSpacing"/>
        <w:rPr>
          <w:rFonts w:asciiTheme="minorHAnsi" w:hAnsiTheme="minorHAnsi" w:cs="Arial"/>
          <w:bCs/>
          <w:sz w:val="24"/>
          <w:szCs w:val="24"/>
          <w:lang w:val="en"/>
        </w:rPr>
      </w:pPr>
    </w:p>
    <w:p w:rsidR="00351B95" w:rsidRPr="00266552" w:rsidRDefault="00266552" w:rsidP="00170453">
      <w:pPr>
        <w:pStyle w:val="NoSpacing"/>
        <w:rPr>
          <w:rFonts w:asciiTheme="minorHAnsi" w:hAnsiTheme="minorHAnsi" w:cs="Arial"/>
          <w:bCs/>
          <w:sz w:val="24"/>
          <w:szCs w:val="24"/>
          <w:lang w:val="en"/>
        </w:rPr>
      </w:pPr>
      <w:r>
        <w:rPr>
          <w:rFonts w:asciiTheme="minorHAnsi" w:hAnsiTheme="minorHAnsi" w:cs="Arial"/>
          <w:bCs/>
          <w:sz w:val="24"/>
          <w:szCs w:val="24"/>
          <w:lang w:val="en"/>
        </w:rPr>
        <w:t>We are pleased to see the</w:t>
      </w:r>
      <w:r w:rsidR="00351B95">
        <w:rPr>
          <w:rFonts w:asciiTheme="minorHAnsi" w:hAnsiTheme="minorHAnsi" w:cs="Arial"/>
          <w:bCs/>
          <w:sz w:val="24"/>
          <w:szCs w:val="24"/>
          <w:lang w:val="en"/>
        </w:rPr>
        <w:t xml:space="preserve"> inclusion of CIfA Standards and guidance </w:t>
      </w:r>
      <w:r>
        <w:rPr>
          <w:rFonts w:asciiTheme="minorHAnsi" w:hAnsiTheme="minorHAnsi" w:cs="Arial"/>
          <w:bCs/>
          <w:sz w:val="24"/>
          <w:szCs w:val="24"/>
          <w:lang w:val="en"/>
        </w:rPr>
        <w:t xml:space="preserve">in Section 8 – Further Reading although a firmer steer towards the need for work to comply with the </w:t>
      </w:r>
      <w:r w:rsidRPr="00266552">
        <w:rPr>
          <w:rFonts w:asciiTheme="minorHAnsi" w:hAnsiTheme="minorHAnsi" w:cs="Arial"/>
          <w:bCs/>
          <w:i/>
          <w:sz w:val="24"/>
          <w:szCs w:val="24"/>
          <w:lang w:val="en"/>
        </w:rPr>
        <w:t>Standard and guidance for the archaeological investigation and recording of standing buildings or structures</w:t>
      </w:r>
      <w:r>
        <w:rPr>
          <w:rFonts w:asciiTheme="minorHAnsi" w:hAnsiTheme="minorHAnsi" w:cs="Arial"/>
          <w:bCs/>
          <w:i/>
          <w:sz w:val="24"/>
          <w:szCs w:val="24"/>
          <w:lang w:val="en"/>
        </w:rPr>
        <w:t xml:space="preserve"> </w:t>
      </w:r>
      <w:r>
        <w:rPr>
          <w:rFonts w:asciiTheme="minorHAnsi" w:hAnsiTheme="minorHAnsi" w:cs="Arial"/>
          <w:bCs/>
          <w:sz w:val="24"/>
          <w:szCs w:val="24"/>
          <w:lang w:val="en"/>
        </w:rPr>
        <w:t>would be useful. The S&amp;g is in the process of being revised by our Buildings Archaeology Group and I would welcome the opportunity to discuss that with you as work progresses.</w:t>
      </w:r>
    </w:p>
    <w:p w:rsidR="00351B95" w:rsidRDefault="00351B95" w:rsidP="00170453">
      <w:pPr>
        <w:pStyle w:val="NoSpacing"/>
        <w:rPr>
          <w:rFonts w:asciiTheme="minorHAnsi" w:hAnsiTheme="minorHAnsi" w:cs="Arial"/>
          <w:bCs/>
          <w:sz w:val="24"/>
          <w:szCs w:val="24"/>
          <w:lang w:val="en"/>
        </w:rPr>
      </w:pPr>
    </w:p>
    <w:p w:rsidR="00170453" w:rsidRDefault="00351B95" w:rsidP="00170453">
      <w:pPr>
        <w:pStyle w:val="NoSpacing"/>
        <w:rPr>
          <w:rFonts w:asciiTheme="minorHAnsi" w:hAnsiTheme="minorHAnsi" w:cs="Arial"/>
          <w:bCs/>
          <w:sz w:val="24"/>
          <w:szCs w:val="24"/>
          <w:lang w:val="en"/>
        </w:rPr>
      </w:pPr>
      <w:r>
        <w:rPr>
          <w:rFonts w:asciiTheme="minorHAnsi" w:hAnsiTheme="minorHAnsi" w:cs="Arial"/>
          <w:bCs/>
          <w:sz w:val="24"/>
          <w:szCs w:val="24"/>
          <w:lang w:val="en"/>
        </w:rPr>
        <w:t>There are one or two minor points in the text which might benefit from further explanation or clarification and these are included in the bullet points below.</w:t>
      </w:r>
    </w:p>
    <w:p w:rsidR="00266552" w:rsidRDefault="00266552" w:rsidP="00170453">
      <w:pPr>
        <w:pStyle w:val="NoSpacing"/>
        <w:rPr>
          <w:rFonts w:asciiTheme="minorHAnsi" w:hAnsiTheme="minorHAnsi" w:cs="Arial"/>
          <w:bCs/>
          <w:sz w:val="24"/>
          <w:szCs w:val="24"/>
          <w:lang w:val="en"/>
        </w:rPr>
      </w:pPr>
    </w:p>
    <w:p w:rsidR="00266552" w:rsidRDefault="00266552" w:rsidP="00266552">
      <w:pPr>
        <w:autoSpaceDE w:val="0"/>
        <w:autoSpaceDN w:val="0"/>
        <w:adjustRightInd w:val="0"/>
        <w:ind w:left="720" w:hanging="720"/>
        <w:rPr>
          <w:rFonts w:asciiTheme="minorHAnsi" w:hAnsiTheme="minorHAnsi" w:cs="Segoe UI"/>
          <w:color w:val="000000"/>
          <w:lang w:val="en-GB" w:eastAsia="en-GB"/>
        </w:rPr>
      </w:pPr>
      <w:r>
        <w:rPr>
          <w:rFonts w:asciiTheme="minorHAnsi" w:hAnsiTheme="minorHAnsi" w:cs="Arial"/>
          <w:bCs/>
          <w:lang w:val="en"/>
        </w:rPr>
        <w:t>4.1.3</w:t>
      </w:r>
      <w:r>
        <w:rPr>
          <w:rFonts w:asciiTheme="minorHAnsi" w:hAnsiTheme="minorHAnsi" w:cs="Arial"/>
          <w:bCs/>
          <w:lang w:val="en"/>
        </w:rPr>
        <w:tab/>
        <w:t>The g</w:t>
      </w:r>
      <w:r w:rsidRPr="00266552">
        <w:rPr>
          <w:rFonts w:asciiTheme="minorHAnsi" w:hAnsiTheme="minorHAnsi" w:cs="Segoe UI"/>
          <w:color w:val="000000"/>
          <w:lang w:val="en-GB" w:eastAsia="en-GB"/>
        </w:rPr>
        <w:t>uidance could usefully advise readers to document which sources have been used and which discounted, along with reasons for discounting specific sources</w:t>
      </w:r>
    </w:p>
    <w:p w:rsidR="00266552" w:rsidRDefault="00266552" w:rsidP="00266552">
      <w:pPr>
        <w:autoSpaceDE w:val="0"/>
        <w:autoSpaceDN w:val="0"/>
        <w:adjustRightInd w:val="0"/>
        <w:ind w:left="720" w:hanging="720"/>
        <w:rPr>
          <w:rFonts w:asciiTheme="minorHAnsi" w:hAnsiTheme="minorHAnsi"/>
        </w:rPr>
      </w:pPr>
      <w:r>
        <w:rPr>
          <w:rFonts w:asciiTheme="minorHAnsi" w:hAnsiTheme="minorHAnsi" w:cs="Segoe UI"/>
          <w:color w:val="000000"/>
          <w:lang w:val="en-GB" w:eastAsia="en-GB"/>
        </w:rPr>
        <w:t>4.2.3</w:t>
      </w:r>
      <w:r>
        <w:rPr>
          <w:rFonts w:asciiTheme="minorHAnsi" w:hAnsiTheme="minorHAnsi" w:cs="Segoe UI"/>
          <w:color w:val="000000"/>
          <w:lang w:val="en-GB" w:eastAsia="en-GB"/>
        </w:rPr>
        <w:tab/>
        <w:t>The sentence ‘</w:t>
      </w:r>
      <w:r w:rsidRPr="00266552">
        <w:rPr>
          <w:rFonts w:asciiTheme="minorHAnsi" w:hAnsiTheme="minorHAnsi"/>
          <w:i/>
        </w:rPr>
        <w:t>It is important to bear in mind that architectural evidence should be used to reflect upon the use of a building over time, rather than as an end in itself</w:t>
      </w:r>
      <w:r w:rsidRPr="00266552">
        <w:rPr>
          <w:rFonts w:asciiTheme="minorHAnsi" w:hAnsiTheme="minorHAnsi"/>
          <w:i/>
        </w:rPr>
        <w:t>’</w:t>
      </w:r>
      <w:r>
        <w:rPr>
          <w:rFonts w:asciiTheme="minorHAnsi" w:hAnsiTheme="minorHAnsi"/>
          <w:i/>
        </w:rPr>
        <w:t xml:space="preserve"> </w:t>
      </w:r>
      <w:r>
        <w:rPr>
          <w:rFonts w:asciiTheme="minorHAnsi" w:hAnsiTheme="minorHAnsi"/>
        </w:rPr>
        <w:t>is unclear and could be clarified for a non-specialist reader</w:t>
      </w:r>
    </w:p>
    <w:p w:rsidR="00266552" w:rsidRDefault="00266552" w:rsidP="00266552">
      <w:pPr>
        <w:autoSpaceDE w:val="0"/>
        <w:autoSpaceDN w:val="0"/>
        <w:adjustRightInd w:val="0"/>
        <w:ind w:left="720" w:hanging="720"/>
        <w:rPr>
          <w:rFonts w:asciiTheme="minorHAnsi" w:hAnsiTheme="minorHAnsi"/>
        </w:rPr>
      </w:pPr>
      <w:r>
        <w:rPr>
          <w:rFonts w:asciiTheme="minorHAnsi" w:hAnsiTheme="minorHAnsi"/>
        </w:rPr>
        <w:t>4.2.6</w:t>
      </w:r>
      <w:r>
        <w:rPr>
          <w:rFonts w:asciiTheme="minorHAnsi" w:hAnsiTheme="minorHAnsi"/>
        </w:rPr>
        <w:tab/>
        <w:t>Final sentence: why only ‘sometimes’?</w:t>
      </w:r>
    </w:p>
    <w:p w:rsidR="00B608EE" w:rsidRDefault="00B608EE" w:rsidP="00266552">
      <w:pPr>
        <w:autoSpaceDE w:val="0"/>
        <w:autoSpaceDN w:val="0"/>
        <w:adjustRightInd w:val="0"/>
        <w:ind w:left="720" w:hanging="720"/>
        <w:rPr>
          <w:rFonts w:asciiTheme="minorHAnsi" w:hAnsiTheme="minorHAnsi"/>
        </w:rPr>
      </w:pPr>
    </w:p>
    <w:p w:rsidR="00B608EE" w:rsidRDefault="00B608EE" w:rsidP="00B608EE">
      <w:pPr>
        <w:autoSpaceDE w:val="0"/>
        <w:autoSpaceDN w:val="0"/>
        <w:adjustRightInd w:val="0"/>
        <w:rPr>
          <w:rFonts w:asciiTheme="minorHAnsi" w:hAnsiTheme="minorHAnsi"/>
        </w:rPr>
      </w:pPr>
      <w:r>
        <w:rPr>
          <w:rFonts w:asciiTheme="minorHAnsi" w:hAnsiTheme="minorHAnsi"/>
        </w:rPr>
        <w:t>I hope these comments are useful. I am very happy to discuss further and will arrange for a CIfA logo to be sent to you for the final version.</w:t>
      </w:r>
    </w:p>
    <w:p w:rsidR="00B608EE" w:rsidRDefault="00B608EE" w:rsidP="00B608EE">
      <w:pPr>
        <w:autoSpaceDE w:val="0"/>
        <w:autoSpaceDN w:val="0"/>
        <w:adjustRightInd w:val="0"/>
        <w:rPr>
          <w:rFonts w:asciiTheme="minorHAnsi" w:hAnsiTheme="minorHAnsi"/>
        </w:rPr>
      </w:pPr>
    </w:p>
    <w:p w:rsidR="00B608EE" w:rsidRDefault="00B608EE" w:rsidP="00B608EE">
      <w:pPr>
        <w:autoSpaceDE w:val="0"/>
        <w:autoSpaceDN w:val="0"/>
        <w:adjustRightInd w:val="0"/>
        <w:rPr>
          <w:rFonts w:asciiTheme="minorHAnsi" w:hAnsiTheme="minorHAnsi"/>
        </w:rPr>
      </w:pPr>
      <w:r>
        <w:rPr>
          <w:rFonts w:asciiTheme="minorHAnsi" w:hAnsiTheme="minorHAnsi"/>
        </w:rPr>
        <w:t>Yours sincerely</w:t>
      </w:r>
    </w:p>
    <w:p w:rsidR="00B608EE" w:rsidRDefault="00B608EE" w:rsidP="00B608EE">
      <w:pPr>
        <w:autoSpaceDE w:val="0"/>
        <w:autoSpaceDN w:val="0"/>
        <w:adjustRightInd w:val="0"/>
        <w:rPr>
          <w:rFonts w:asciiTheme="minorHAnsi" w:hAnsiTheme="minorHAnsi"/>
        </w:rPr>
      </w:pPr>
    </w:p>
    <w:p w:rsidR="00B608EE" w:rsidRDefault="00B608EE" w:rsidP="00B608EE">
      <w:pPr>
        <w:autoSpaceDE w:val="0"/>
        <w:autoSpaceDN w:val="0"/>
        <w:adjustRightInd w:val="0"/>
        <w:rPr>
          <w:rFonts w:asciiTheme="minorHAnsi" w:hAnsiTheme="minorHAnsi"/>
        </w:rPr>
      </w:pPr>
    </w:p>
    <w:p w:rsidR="00B608EE" w:rsidRDefault="00B608EE" w:rsidP="00B608EE">
      <w:pPr>
        <w:autoSpaceDE w:val="0"/>
        <w:autoSpaceDN w:val="0"/>
        <w:adjustRightInd w:val="0"/>
        <w:rPr>
          <w:rFonts w:asciiTheme="minorHAnsi" w:hAnsiTheme="minorHAnsi"/>
        </w:rPr>
      </w:pPr>
    </w:p>
    <w:p w:rsidR="00B608EE" w:rsidRDefault="00B608EE" w:rsidP="00B608EE">
      <w:pPr>
        <w:autoSpaceDE w:val="0"/>
        <w:autoSpaceDN w:val="0"/>
        <w:adjustRightInd w:val="0"/>
        <w:rPr>
          <w:rFonts w:asciiTheme="minorHAnsi" w:hAnsiTheme="minorHAnsi"/>
        </w:rPr>
      </w:pPr>
      <w:bookmarkStart w:id="0" w:name="_GoBack"/>
      <w:bookmarkEnd w:id="0"/>
      <w:r>
        <w:rPr>
          <w:rFonts w:asciiTheme="minorHAnsi" w:hAnsiTheme="minorHAnsi"/>
        </w:rPr>
        <w:t>Kate Geary</w:t>
      </w:r>
    </w:p>
    <w:p w:rsidR="00B608EE" w:rsidRPr="00266552" w:rsidRDefault="00B608EE" w:rsidP="00B608EE">
      <w:pPr>
        <w:autoSpaceDE w:val="0"/>
        <w:autoSpaceDN w:val="0"/>
        <w:adjustRightInd w:val="0"/>
        <w:rPr>
          <w:rFonts w:asciiTheme="minorHAnsi" w:hAnsiTheme="minorHAnsi" w:cs="Segoe UI"/>
          <w:color w:val="000000"/>
          <w:lang w:val="en-GB" w:eastAsia="en-GB"/>
        </w:rPr>
      </w:pPr>
      <w:r>
        <w:rPr>
          <w:rFonts w:asciiTheme="minorHAnsi" w:hAnsiTheme="minorHAnsi"/>
        </w:rPr>
        <w:t>Standards Development Manager</w:t>
      </w:r>
    </w:p>
    <w:p w:rsidR="00266552" w:rsidRDefault="00266552" w:rsidP="00266552">
      <w:pPr>
        <w:autoSpaceDE w:val="0"/>
        <w:autoSpaceDN w:val="0"/>
        <w:adjustRightInd w:val="0"/>
        <w:rPr>
          <w:rFonts w:asciiTheme="minorHAnsi" w:hAnsiTheme="minorHAnsi" w:cs="Segoe UI"/>
          <w:color w:val="000000"/>
          <w:lang w:val="en-GB" w:eastAsia="en-GB"/>
        </w:rPr>
      </w:pPr>
    </w:p>
    <w:p w:rsidR="00266552" w:rsidRPr="00266552" w:rsidRDefault="00266552" w:rsidP="00266552">
      <w:pPr>
        <w:autoSpaceDE w:val="0"/>
        <w:autoSpaceDN w:val="0"/>
        <w:adjustRightInd w:val="0"/>
        <w:rPr>
          <w:rFonts w:asciiTheme="minorHAnsi" w:hAnsiTheme="minorHAnsi" w:cs="Segoe UI"/>
          <w:lang w:val="en-GB" w:eastAsia="en-GB"/>
        </w:rPr>
      </w:pPr>
    </w:p>
    <w:p w:rsidR="00266552" w:rsidRDefault="00266552" w:rsidP="00170453">
      <w:pPr>
        <w:pStyle w:val="NoSpacing"/>
        <w:rPr>
          <w:rFonts w:asciiTheme="minorHAnsi" w:hAnsiTheme="minorHAnsi" w:cs="Arial"/>
          <w:bCs/>
          <w:sz w:val="24"/>
          <w:szCs w:val="24"/>
          <w:lang w:val="en"/>
        </w:rPr>
      </w:pPr>
    </w:p>
    <w:p w:rsidR="00170453" w:rsidRDefault="00170453" w:rsidP="00170453">
      <w:pPr>
        <w:pStyle w:val="NoSpacing"/>
        <w:rPr>
          <w:rFonts w:asciiTheme="minorHAnsi" w:hAnsiTheme="minorHAnsi" w:cs="Arial"/>
          <w:bCs/>
          <w:sz w:val="24"/>
          <w:szCs w:val="24"/>
          <w:lang w:val="en"/>
        </w:rPr>
      </w:pPr>
    </w:p>
    <w:p w:rsidR="00170453" w:rsidRPr="00170453" w:rsidRDefault="00170453" w:rsidP="00170453">
      <w:pPr>
        <w:pStyle w:val="NoSpacing"/>
        <w:rPr>
          <w:rFonts w:asciiTheme="minorHAnsi" w:hAnsiTheme="minorHAnsi" w:cs="Arial"/>
          <w:bCs/>
          <w:sz w:val="24"/>
          <w:szCs w:val="24"/>
          <w:lang w:val="en"/>
        </w:rPr>
      </w:pPr>
    </w:p>
    <w:p w:rsidR="007A5122" w:rsidRPr="00170453" w:rsidRDefault="007A5122" w:rsidP="00170453">
      <w:pPr>
        <w:pStyle w:val="NoSpacing"/>
        <w:rPr>
          <w:rFonts w:asciiTheme="minorHAnsi" w:hAnsiTheme="minorHAnsi" w:cs="Arial"/>
          <w:bCs/>
          <w:sz w:val="24"/>
          <w:szCs w:val="24"/>
          <w:lang w:val="en"/>
        </w:rPr>
      </w:pPr>
    </w:p>
    <w:p w:rsidR="00665496" w:rsidRPr="00170453" w:rsidRDefault="00665496" w:rsidP="00170453">
      <w:pPr>
        <w:spacing w:line="240" w:lineRule="exact"/>
        <w:rPr>
          <w:rFonts w:asciiTheme="minorHAnsi" w:hAnsiTheme="minorHAnsi"/>
        </w:rPr>
        <w:sectPr w:rsidR="00665496" w:rsidRPr="00170453" w:rsidSect="00CD48C5">
          <w:headerReference w:type="default" r:id="rId8"/>
          <w:footerReference w:type="default" r:id="rId9"/>
          <w:endnotePr>
            <w:numFmt w:val="decimal"/>
          </w:endnotePr>
          <w:pgSz w:w="11901" w:h="16817"/>
          <w:pgMar w:top="2835" w:right="737" w:bottom="1985" w:left="2665" w:header="709" w:footer="376" w:gutter="0"/>
          <w:cols w:space="708"/>
          <w:docGrid w:linePitch="360"/>
        </w:sectPr>
      </w:pPr>
    </w:p>
    <w:p w:rsidR="007A5122" w:rsidRPr="00170453" w:rsidRDefault="007A5122" w:rsidP="00170453">
      <w:pPr>
        <w:spacing w:line="240" w:lineRule="exact"/>
        <w:rPr>
          <w:rFonts w:asciiTheme="minorHAnsi" w:hAnsiTheme="minorHAnsi"/>
        </w:rPr>
      </w:pPr>
    </w:p>
    <w:p w:rsidR="00665496" w:rsidRPr="00170453" w:rsidRDefault="00665496" w:rsidP="00170453">
      <w:pPr>
        <w:spacing w:line="240" w:lineRule="exact"/>
        <w:rPr>
          <w:rFonts w:asciiTheme="minorHAnsi" w:hAnsiTheme="minorHAnsi"/>
        </w:rPr>
      </w:pPr>
    </w:p>
    <w:sectPr w:rsidR="00665496" w:rsidRPr="00170453" w:rsidSect="00CD48C5">
      <w:headerReference w:type="default" r:id="rId10"/>
      <w:endnotePr>
        <w:numFmt w:val="decimal"/>
      </w:endnotePr>
      <w:pgSz w:w="11901" w:h="16817"/>
      <w:pgMar w:top="1418" w:right="737" w:bottom="1985" w:left="2665" w:header="709"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FBD" w:rsidRDefault="00071FBD" w:rsidP="00741388">
      <w:r>
        <w:separator/>
      </w:r>
    </w:p>
  </w:endnote>
  <w:endnote w:type="continuationSeparator" w:id="0">
    <w:p w:rsidR="00071FBD" w:rsidRDefault="00071FBD" w:rsidP="0074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OT-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roxima Nova Regular">
    <w:altName w:val="Arial"/>
    <w:charset w:val="00"/>
    <w:family w:val="auto"/>
    <w:pitch w:val="variable"/>
    <w:sig w:usb0="00000001"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93" w:rsidRPr="001E378A" w:rsidRDefault="00454193" w:rsidP="001E378A">
    <w:pPr>
      <w:pStyle w:val="Footer"/>
      <w:spacing w:line="200" w:lineRule="exact"/>
      <w:rPr>
        <w:rFonts w:ascii="Proxima Nova Regular" w:hAnsi="Proxima Nova Regular"/>
        <w:sz w:val="17"/>
        <w:szCs w:val="17"/>
      </w:rPr>
    </w:pPr>
    <w:r>
      <w:rPr>
        <w:rFonts w:ascii="Proxima Nova Regular" w:hAnsi="Proxima Nova Regular"/>
        <w:sz w:val="17"/>
        <w:szCs w:val="17"/>
      </w:rPr>
      <w:t xml:space="preserve">Chartered </w:t>
    </w:r>
    <w:r w:rsidRPr="001E378A">
      <w:rPr>
        <w:rFonts w:ascii="Proxima Nova Regular" w:hAnsi="Proxima Nova Regular"/>
        <w:sz w:val="17"/>
        <w:szCs w:val="17"/>
      </w:rPr>
      <w:t xml:space="preserve">Institute for Archaeologists, Miller Building, University of Reading, Reading RG6 6AB  </w:t>
    </w:r>
  </w:p>
  <w:p w:rsidR="00454193" w:rsidRPr="001E378A" w:rsidRDefault="00454193" w:rsidP="001E378A">
    <w:pPr>
      <w:pStyle w:val="Footer"/>
      <w:spacing w:line="200" w:lineRule="exact"/>
      <w:rPr>
        <w:rFonts w:ascii="Proxima Nova Regular" w:hAnsi="Proxima Nova Regular"/>
        <w:sz w:val="17"/>
        <w:szCs w:val="17"/>
      </w:rPr>
    </w:pPr>
    <w:r w:rsidRPr="001E378A">
      <w:rPr>
        <w:rFonts w:ascii="Proxima Nova Regular" w:hAnsi="Proxima Nova Regular"/>
        <w:color w:val="702671"/>
        <w:sz w:val="17"/>
        <w:szCs w:val="17"/>
      </w:rPr>
      <w:t xml:space="preserve">T: </w:t>
    </w:r>
    <w:r w:rsidRPr="001E378A">
      <w:rPr>
        <w:rFonts w:ascii="Proxima Nova Regular" w:hAnsi="Proxima Nova Regular"/>
        <w:sz w:val="17"/>
        <w:szCs w:val="17"/>
      </w:rPr>
      <w:t xml:space="preserve">0118 378 6446 </w:t>
    </w:r>
    <w:r>
      <w:rPr>
        <w:rFonts w:ascii="Proxima Nova Regular" w:hAnsi="Proxima Nova Regular"/>
        <w:color w:val="702671"/>
        <w:sz w:val="17"/>
        <w:szCs w:val="17"/>
      </w:rPr>
      <w:t xml:space="preserve"> </w:t>
    </w:r>
    <w:r w:rsidRPr="001E378A">
      <w:rPr>
        <w:rFonts w:ascii="Proxima Nova Regular" w:hAnsi="Proxima Nova Regular"/>
        <w:sz w:val="17"/>
        <w:szCs w:val="17"/>
      </w:rPr>
      <w:t xml:space="preserve">|  admin@archaeologists.net  </w:t>
    </w:r>
    <w:r w:rsidRPr="002B42B3">
      <w:rPr>
        <w:rFonts w:ascii="Proxima Nova Regular" w:hAnsi="Proxima Nova Regular"/>
        <w:color w:val="702671"/>
        <w:sz w:val="17"/>
        <w:szCs w:val="17"/>
      </w:rPr>
      <w:t>|</w:t>
    </w:r>
    <w:r w:rsidRPr="001E378A">
      <w:rPr>
        <w:rFonts w:ascii="Proxima Nova Regular" w:hAnsi="Proxima Nova Regular"/>
        <w:sz w:val="17"/>
        <w:szCs w:val="17"/>
      </w:rPr>
      <w:t xml:space="preserve">  www.archaeologists.net</w:t>
    </w:r>
  </w:p>
  <w:p w:rsidR="00454193" w:rsidRPr="001E378A" w:rsidRDefault="00454193" w:rsidP="001E378A">
    <w:pPr>
      <w:pStyle w:val="Footer"/>
      <w:spacing w:line="150" w:lineRule="exact"/>
      <w:rPr>
        <w:rFonts w:ascii="Proxima Nova Regular" w:hAnsi="Proxima Nova Regular"/>
      </w:rPr>
    </w:pPr>
  </w:p>
  <w:p w:rsidR="00454193" w:rsidRPr="001E378A" w:rsidRDefault="00454193" w:rsidP="001E378A">
    <w:pPr>
      <w:pStyle w:val="Footer"/>
      <w:spacing w:line="150" w:lineRule="exact"/>
      <w:rPr>
        <w:rFonts w:ascii="Proxima Nova Regular" w:hAnsi="Proxima Nova Regular"/>
        <w:sz w:val="13"/>
        <w:szCs w:val="13"/>
      </w:rPr>
    </w:pPr>
    <w:r w:rsidRPr="001E378A">
      <w:rPr>
        <w:rFonts w:ascii="Proxima Nova Regular" w:hAnsi="Proxima Nova Regular"/>
        <w:sz w:val="13"/>
        <w:szCs w:val="13"/>
      </w:rPr>
      <w:t xml:space="preserve">The Chartered Institute for Archaeologists is </w:t>
    </w:r>
    <w:r>
      <w:rPr>
        <w:rFonts w:ascii="Proxima Nova Regular" w:hAnsi="Proxima Nova Regular"/>
        <w:sz w:val="13"/>
        <w:szCs w:val="13"/>
      </w:rPr>
      <w:t>a company incorporated by Royal Charter.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FBD" w:rsidRDefault="00071FBD" w:rsidP="00741388">
      <w:r>
        <w:separator/>
      </w:r>
    </w:p>
  </w:footnote>
  <w:footnote w:type="continuationSeparator" w:id="0">
    <w:p w:rsidR="00071FBD" w:rsidRDefault="00071FBD" w:rsidP="0074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93" w:rsidRDefault="006A69F5">
    <w:pPr>
      <w:pStyle w:val="Header"/>
    </w:pPr>
    <w:r>
      <w:rPr>
        <w:noProof/>
        <w:lang w:val="en-GB" w:eastAsia="en-GB"/>
      </w:rPr>
      <w:drawing>
        <wp:anchor distT="0" distB="0" distL="114300" distR="114300" simplePos="0" relativeHeight="251657728" behindDoc="0" locked="0" layoutInCell="1" allowOverlap="1">
          <wp:simplePos x="0" y="0"/>
          <wp:positionH relativeFrom="column">
            <wp:posOffset>-1464310</wp:posOffset>
          </wp:positionH>
          <wp:positionV relativeFrom="page">
            <wp:posOffset>132080</wp:posOffset>
          </wp:positionV>
          <wp:extent cx="2615565" cy="871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93" w:rsidRPr="00CD48C5" w:rsidRDefault="00454193" w:rsidP="00CD4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8556D"/>
    <w:multiLevelType w:val="hybridMultilevel"/>
    <w:tmpl w:val="E4CE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23EC9"/>
    <w:multiLevelType w:val="hybridMultilevel"/>
    <w:tmpl w:val="C98A3AD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767F37EA"/>
    <w:multiLevelType w:val="hybridMultilevel"/>
    <w:tmpl w:val="9FAA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4"/>
    <w:rsid w:val="00007F0C"/>
    <w:rsid w:val="00056410"/>
    <w:rsid w:val="0005641C"/>
    <w:rsid w:val="00063A25"/>
    <w:rsid w:val="000716BA"/>
    <w:rsid w:val="00071FBD"/>
    <w:rsid w:val="000A4DB3"/>
    <w:rsid w:val="000D32B3"/>
    <w:rsid w:val="000E3DA3"/>
    <w:rsid w:val="000F7D54"/>
    <w:rsid w:val="000F7F76"/>
    <w:rsid w:val="0010333E"/>
    <w:rsid w:val="00131D10"/>
    <w:rsid w:val="0014160B"/>
    <w:rsid w:val="00141E07"/>
    <w:rsid w:val="0015552F"/>
    <w:rsid w:val="00170453"/>
    <w:rsid w:val="00170E82"/>
    <w:rsid w:val="00181D0B"/>
    <w:rsid w:val="00190EFE"/>
    <w:rsid w:val="001B127F"/>
    <w:rsid w:val="001E378A"/>
    <w:rsid w:val="00201676"/>
    <w:rsid w:val="002021A8"/>
    <w:rsid w:val="00214E92"/>
    <w:rsid w:val="00220533"/>
    <w:rsid w:val="00252E43"/>
    <w:rsid w:val="002551B9"/>
    <w:rsid w:val="00266552"/>
    <w:rsid w:val="00271025"/>
    <w:rsid w:val="00273F68"/>
    <w:rsid w:val="00294C91"/>
    <w:rsid w:val="002B42B3"/>
    <w:rsid w:val="002D313C"/>
    <w:rsid w:val="002E5D96"/>
    <w:rsid w:val="002F645B"/>
    <w:rsid w:val="00300713"/>
    <w:rsid w:val="0031306E"/>
    <w:rsid w:val="00351B95"/>
    <w:rsid w:val="00363C04"/>
    <w:rsid w:val="00370CE8"/>
    <w:rsid w:val="00397C5E"/>
    <w:rsid w:val="003E2854"/>
    <w:rsid w:val="00417D14"/>
    <w:rsid w:val="00434310"/>
    <w:rsid w:val="00454193"/>
    <w:rsid w:val="0046458D"/>
    <w:rsid w:val="004A5134"/>
    <w:rsid w:val="00507D99"/>
    <w:rsid w:val="005857A7"/>
    <w:rsid w:val="00591766"/>
    <w:rsid w:val="005B0056"/>
    <w:rsid w:val="005B0D2A"/>
    <w:rsid w:val="00627AEC"/>
    <w:rsid w:val="00641FE9"/>
    <w:rsid w:val="00665496"/>
    <w:rsid w:val="00693195"/>
    <w:rsid w:val="006A69F5"/>
    <w:rsid w:val="007159CC"/>
    <w:rsid w:val="00716ED0"/>
    <w:rsid w:val="00741388"/>
    <w:rsid w:val="00760364"/>
    <w:rsid w:val="0078384C"/>
    <w:rsid w:val="00797A6A"/>
    <w:rsid w:val="007A5122"/>
    <w:rsid w:val="007B5199"/>
    <w:rsid w:val="00800633"/>
    <w:rsid w:val="008120BA"/>
    <w:rsid w:val="00822C9D"/>
    <w:rsid w:val="008716CC"/>
    <w:rsid w:val="008774E7"/>
    <w:rsid w:val="008B3E60"/>
    <w:rsid w:val="00980C65"/>
    <w:rsid w:val="0098519A"/>
    <w:rsid w:val="009C21AC"/>
    <w:rsid w:val="009D32BC"/>
    <w:rsid w:val="009D33F2"/>
    <w:rsid w:val="00A275A8"/>
    <w:rsid w:val="00A33468"/>
    <w:rsid w:val="00A406EC"/>
    <w:rsid w:val="00A54893"/>
    <w:rsid w:val="00A85212"/>
    <w:rsid w:val="00A97E63"/>
    <w:rsid w:val="00AB2A4E"/>
    <w:rsid w:val="00AC088D"/>
    <w:rsid w:val="00AD26FF"/>
    <w:rsid w:val="00AD78E8"/>
    <w:rsid w:val="00B03EBD"/>
    <w:rsid w:val="00B15B37"/>
    <w:rsid w:val="00B20299"/>
    <w:rsid w:val="00B25A85"/>
    <w:rsid w:val="00B31022"/>
    <w:rsid w:val="00B608EE"/>
    <w:rsid w:val="00B734ED"/>
    <w:rsid w:val="00B81838"/>
    <w:rsid w:val="00B85C58"/>
    <w:rsid w:val="00BA074D"/>
    <w:rsid w:val="00BB1962"/>
    <w:rsid w:val="00BB3932"/>
    <w:rsid w:val="00BB6BC3"/>
    <w:rsid w:val="00C27322"/>
    <w:rsid w:val="00C34002"/>
    <w:rsid w:val="00C66E72"/>
    <w:rsid w:val="00C870BB"/>
    <w:rsid w:val="00CB0DB6"/>
    <w:rsid w:val="00CD48C5"/>
    <w:rsid w:val="00D520B0"/>
    <w:rsid w:val="00DC0AB4"/>
    <w:rsid w:val="00DD24EC"/>
    <w:rsid w:val="00DD39EB"/>
    <w:rsid w:val="00E25086"/>
    <w:rsid w:val="00EC72A7"/>
    <w:rsid w:val="00EF132C"/>
    <w:rsid w:val="00F35FAA"/>
    <w:rsid w:val="00F74C49"/>
    <w:rsid w:val="00F84BB8"/>
    <w:rsid w:val="00FB7646"/>
    <w:rsid w:val="00FF6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BFBE24-BBF9-48DF-8ACB-8BCA7D42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07F0C"/>
    <w:pPr>
      <w:keepNext/>
      <w:spacing w:before="240" w:after="60"/>
      <w:outlineLvl w:val="0"/>
    </w:pPr>
    <w:rPr>
      <w:rFonts w:eastAsia="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76"/>
    <w:rPr>
      <w:rFonts w:ascii="Lucida Grande" w:hAnsi="Lucida Grande"/>
      <w:sz w:val="18"/>
      <w:szCs w:val="18"/>
      <w:lang w:val="x-none" w:eastAsia="x-none"/>
    </w:rPr>
  </w:style>
  <w:style w:type="character" w:customStyle="1" w:styleId="BalloonTextChar">
    <w:name w:val="Balloon Text Char"/>
    <w:link w:val="BalloonText"/>
    <w:uiPriority w:val="99"/>
    <w:semiHidden/>
    <w:rsid w:val="000F7F76"/>
    <w:rPr>
      <w:rFonts w:ascii="Lucida Grande" w:hAnsi="Lucida Grande"/>
      <w:sz w:val="18"/>
      <w:szCs w:val="18"/>
    </w:rPr>
  </w:style>
  <w:style w:type="paragraph" w:styleId="Header">
    <w:name w:val="header"/>
    <w:basedOn w:val="Normal"/>
    <w:link w:val="HeaderChar"/>
    <w:uiPriority w:val="99"/>
    <w:unhideWhenUsed/>
    <w:rsid w:val="00741388"/>
    <w:pPr>
      <w:tabs>
        <w:tab w:val="center" w:pos="4320"/>
        <w:tab w:val="right" w:pos="8640"/>
      </w:tabs>
    </w:pPr>
    <w:rPr>
      <w:lang w:eastAsia="x-none"/>
    </w:rPr>
  </w:style>
  <w:style w:type="character" w:customStyle="1" w:styleId="HeaderChar">
    <w:name w:val="Header Char"/>
    <w:link w:val="Header"/>
    <w:uiPriority w:val="99"/>
    <w:rsid w:val="00741388"/>
    <w:rPr>
      <w:sz w:val="24"/>
      <w:szCs w:val="24"/>
      <w:lang w:val="en-US"/>
    </w:rPr>
  </w:style>
  <w:style w:type="paragraph" w:styleId="Footer">
    <w:name w:val="footer"/>
    <w:basedOn w:val="Normal"/>
    <w:link w:val="FooterChar"/>
    <w:uiPriority w:val="99"/>
    <w:unhideWhenUsed/>
    <w:rsid w:val="00741388"/>
    <w:pPr>
      <w:tabs>
        <w:tab w:val="center" w:pos="4320"/>
        <w:tab w:val="right" w:pos="8640"/>
      </w:tabs>
    </w:pPr>
    <w:rPr>
      <w:lang w:eastAsia="x-none"/>
    </w:rPr>
  </w:style>
  <w:style w:type="character" w:customStyle="1" w:styleId="FooterChar">
    <w:name w:val="Footer Char"/>
    <w:link w:val="Footer"/>
    <w:uiPriority w:val="99"/>
    <w:rsid w:val="00741388"/>
    <w:rPr>
      <w:sz w:val="24"/>
      <w:szCs w:val="24"/>
      <w:lang w:val="en-US"/>
    </w:rPr>
  </w:style>
  <w:style w:type="character" w:styleId="Hyperlink">
    <w:name w:val="Hyperlink"/>
    <w:basedOn w:val="DefaultParagraphFont"/>
    <w:rsid w:val="007A5122"/>
    <w:rPr>
      <w:color w:val="0000FF"/>
      <w:u w:val="single"/>
    </w:rPr>
  </w:style>
  <w:style w:type="paragraph" w:styleId="NoSpacing">
    <w:name w:val="No Spacing"/>
    <w:uiPriority w:val="1"/>
    <w:qFormat/>
    <w:rsid w:val="007A5122"/>
    <w:rPr>
      <w:rFonts w:ascii="Arial" w:eastAsia="Calibri" w:hAnsi="Arial"/>
      <w:sz w:val="22"/>
      <w:szCs w:val="22"/>
      <w:lang w:eastAsia="en-US"/>
    </w:rPr>
  </w:style>
  <w:style w:type="paragraph" w:customStyle="1" w:styleId="Pa3">
    <w:name w:val="Pa3"/>
    <w:basedOn w:val="Normal"/>
    <w:next w:val="Normal"/>
    <w:uiPriority w:val="99"/>
    <w:rsid w:val="007A5122"/>
    <w:pPr>
      <w:autoSpaceDE w:val="0"/>
      <w:autoSpaceDN w:val="0"/>
      <w:adjustRightInd w:val="0"/>
      <w:spacing w:line="241" w:lineRule="atLeast"/>
    </w:pPr>
    <w:rPr>
      <w:rFonts w:ascii="MetaOT-Light" w:eastAsia="Calibri" w:hAnsi="MetaOT-Light"/>
      <w:lang w:val="en-GB" w:eastAsia="en-GB"/>
    </w:rPr>
  </w:style>
  <w:style w:type="paragraph" w:styleId="EndnoteText">
    <w:name w:val="endnote text"/>
    <w:basedOn w:val="Normal"/>
    <w:link w:val="EndnoteTextChar"/>
    <w:uiPriority w:val="99"/>
    <w:semiHidden/>
    <w:unhideWhenUsed/>
    <w:rsid w:val="007A5122"/>
    <w:rPr>
      <w:rFonts w:ascii="Arial" w:eastAsia="Calibri" w:hAnsi="Arial"/>
      <w:sz w:val="20"/>
      <w:szCs w:val="20"/>
      <w:lang w:val="en-GB"/>
    </w:rPr>
  </w:style>
  <w:style w:type="character" w:customStyle="1" w:styleId="EndnoteTextChar">
    <w:name w:val="Endnote Text Char"/>
    <w:basedOn w:val="DefaultParagraphFont"/>
    <w:link w:val="EndnoteText"/>
    <w:uiPriority w:val="99"/>
    <w:semiHidden/>
    <w:rsid w:val="007A5122"/>
    <w:rPr>
      <w:rFonts w:ascii="Arial" w:eastAsia="Calibri" w:hAnsi="Arial"/>
      <w:lang w:eastAsia="en-US"/>
    </w:rPr>
  </w:style>
  <w:style w:type="character" w:styleId="EndnoteReference">
    <w:name w:val="endnote reference"/>
    <w:basedOn w:val="DefaultParagraphFont"/>
    <w:uiPriority w:val="99"/>
    <w:semiHidden/>
    <w:unhideWhenUsed/>
    <w:rsid w:val="007A5122"/>
    <w:rPr>
      <w:vertAlign w:val="superscript"/>
    </w:rPr>
  </w:style>
  <w:style w:type="paragraph" w:customStyle="1" w:styleId="Default">
    <w:name w:val="Default"/>
    <w:rsid w:val="00B2029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007F0C"/>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027">
      <w:bodyDiv w:val="1"/>
      <w:marLeft w:val="0"/>
      <w:marRight w:val="0"/>
      <w:marTop w:val="0"/>
      <w:marBottom w:val="0"/>
      <w:divBdr>
        <w:top w:val="none" w:sz="0" w:space="0" w:color="auto"/>
        <w:left w:val="none" w:sz="0" w:space="0" w:color="auto"/>
        <w:bottom w:val="none" w:sz="0" w:space="0" w:color="auto"/>
        <w:right w:val="none" w:sz="0" w:space="0" w:color="auto"/>
      </w:divBdr>
    </w:div>
    <w:div w:id="1052002541">
      <w:bodyDiv w:val="1"/>
      <w:marLeft w:val="0"/>
      <w:marRight w:val="0"/>
      <w:marTop w:val="0"/>
      <w:marBottom w:val="0"/>
      <w:divBdr>
        <w:top w:val="none" w:sz="0" w:space="0" w:color="auto"/>
        <w:left w:val="none" w:sz="0" w:space="0" w:color="auto"/>
        <w:bottom w:val="none" w:sz="0" w:space="0" w:color="auto"/>
        <w:right w:val="none" w:sz="0" w:space="0" w:color="auto"/>
      </w:divBdr>
    </w:div>
    <w:div w:id="1239941889">
      <w:bodyDiv w:val="1"/>
      <w:marLeft w:val="0"/>
      <w:marRight w:val="0"/>
      <w:marTop w:val="0"/>
      <w:marBottom w:val="0"/>
      <w:divBdr>
        <w:top w:val="none" w:sz="0" w:space="0" w:color="auto"/>
        <w:left w:val="none" w:sz="0" w:space="0" w:color="auto"/>
        <w:bottom w:val="none" w:sz="0" w:space="0" w:color="auto"/>
        <w:right w:val="none" w:sz="0" w:space="0" w:color="auto"/>
      </w:divBdr>
    </w:div>
    <w:div w:id="1407604779">
      <w:bodyDiv w:val="1"/>
      <w:marLeft w:val="0"/>
      <w:marRight w:val="0"/>
      <w:marTop w:val="0"/>
      <w:marBottom w:val="0"/>
      <w:divBdr>
        <w:top w:val="none" w:sz="0" w:space="0" w:color="auto"/>
        <w:left w:val="none" w:sz="0" w:space="0" w:color="auto"/>
        <w:bottom w:val="none" w:sz="0" w:space="0" w:color="auto"/>
        <w:right w:val="none" w:sz="0" w:space="0" w:color="auto"/>
      </w:divBdr>
    </w:div>
    <w:div w:id="20819756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7091F-8825-4587-9247-23DF98D9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Design Agency</Company>
  <LinksUpToDate>false</LinksUpToDate>
  <CharactersWithSpaces>2967</CharactersWithSpaces>
  <SharedDoc>false</SharedDoc>
  <HLinks>
    <vt:vector size="12" baseType="variant">
      <vt:variant>
        <vt:i4>6094965</vt:i4>
      </vt:variant>
      <vt:variant>
        <vt:i4>0</vt:i4>
      </vt:variant>
      <vt:variant>
        <vt:i4>0</vt:i4>
      </vt:variant>
      <vt:variant>
        <vt:i4>5</vt:i4>
      </vt:variant>
      <vt:variant>
        <vt:lpwstr>mailto:Landfill-tax.consultation@hmrc.gsi.gov.uk</vt:lpwstr>
      </vt:variant>
      <vt:variant>
        <vt:lpwstr/>
      </vt:variant>
      <vt:variant>
        <vt:i4>7602214</vt:i4>
      </vt:variant>
      <vt:variant>
        <vt:i4>0</vt:i4>
      </vt:variant>
      <vt:variant>
        <vt:i4>0</vt:i4>
      </vt:variant>
      <vt:variant>
        <vt:i4>5</vt:i4>
      </vt:variant>
      <vt:variant>
        <vt:lpwstr>https://www.gov.uk/government/consultations/reform-of-the-landfill-communities-fund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Robinson</dc:creator>
  <cp:keywords/>
  <cp:lastModifiedBy>Kate.Geary</cp:lastModifiedBy>
  <cp:revision>3</cp:revision>
  <cp:lastPrinted>2014-10-23T11:31:00Z</cp:lastPrinted>
  <dcterms:created xsi:type="dcterms:W3CDTF">2016-03-18T11:50:00Z</dcterms:created>
  <dcterms:modified xsi:type="dcterms:W3CDTF">2016-03-18T12:20:00Z</dcterms:modified>
</cp:coreProperties>
</file>