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F1" w:rsidRDefault="00444ABF" w:rsidP="00B050F1">
      <w:pPr>
        <w:spacing w:after="0"/>
        <w:rPr>
          <w:rFonts w:ascii="Gill Sans MT" w:hAnsi="Gill Sans MT"/>
          <w:b/>
          <w:sz w:val="30"/>
          <w:szCs w:val="30"/>
        </w:rPr>
      </w:pPr>
      <w:r w:rsidRPr="00B050F1">
        <w:rPr>
          <w:rFonts w:ascii="Gill Sans MT" w:hAnsi="Gill Sans MT"/>
          <w:b/>
          <w:sz w:val="30"/>
          <w:szCs w:val="30"/>
        </w:rPr>
        <w:t xml:space="preserve">Consultation on Minerals Extraction and Archaeology: </w:t>
      </w:r>
    </w:p>
    <w:p w:rsidR="00444ABF" w:rsidRPr="00B050F1" w:rsidRDefault="00444ABF" w:rsidP="00B050F1">
      <w:pPr>
        <w:spacing w:after="0"/>
        <w:rPr>
          <w:rFonts w:ascii="Gill Sans MT" w:hAnsi="Gill Sans MT"/>
          <w:b/>
          <w:sz w:val="30"/>
          <w:szCs w:val="30"/>
        </w:rPr>
      </w:pPr>
      <w:r w:rsidRPr="00B050F1">
        <w:rPr>
          <w:rFonts w:ascii="Gill Sans MT" w:hAnsi="Gill Sans MT"/>
          <w:b/>
          <w:sz w:val="30"/>
          <w:szCs w:val="30"/>
        </w:rPr>
        <w:t xml:space="preserve">a Practice Guide </w:t>
      </w:r>
    </w:p>
    <w:p w:rsidR="00444ABF" w:rsidRPr="00B050F1" w:rsidRDefault="00444ABF" w:rsidP="00B050F1">
      <w:pPr>
        <w:spacing w:after="0"/>
        <w:rPr>
          <w:rFonts w:ascii="Gill Sans MT" w:hAnsi="Gill Sans MT"/>
          <w:b/>
          <w:sz w:val="26"/>
          <w:szCs w:val="26"/>
        </w:rPr>
      </w:pPr>
    </w:p>
    <w:p w:rsidR="00B050F1" w:rsidRPr="00B050F1" w:rsidRDefault="00880FB3" w:rsidP="00B050F1">
      <w:pPr>
        <w:spacing w:after="0"/>
        <w:rPr>
          <w:rFonts w:ascii="Gill Sans MT" w:hAnsi="Gill Sans MT"/>
          <w:b/>
          <w:sz w:val="30"/>
          <w:szCs w:val="30"/>
        </w:rPr>
      </w:pPr>
      <w:r>
        <w:rPr>
          <w:rFonts w:ascii="Gill Sans MT" w:hAnsi="Gill Sans MT"/>
          <w:b/>
          <w:sz w:val="30"/>
          <w:szCs w:val="30"/>
        </w:rPr>
        <w:t>MHEF f</w:t>
      </w:r>
      <w:r w:rsidR="00444ABF" w:rsidRPr="00B050F1">
        <w:rPr>
          <w:rFonts w:ascii="Gill Sans MT" w:hAnsi="Gill Sans MT"/>
          <w:b/>
          <w:sz w:val="30"/>
          <w:szCs w:val="30"/>
        </w:rPr>
        <w:t>eedback form</w:t>
      </w:r>
    </w:p>
    <w:p w:rsidR="008B6FF4" w:rsidRPr="00B050F1" w:rsidRDefault="008B6FF4" w:rsidP="00B050F1">
      <w:pPr>
        <w:spacing w:after="0" w:line="240" w:lineRule="auto"/>
        <w:rPr>
          <w:rFonts w:ascii="Gill Sans MT" w:hAnsi="Gill Sans MT"/>
          <w:color w:val="000000" w:themeColor="text1"/>
          <w:sz w:val="24"/>
          <w:szCs w:val="24"/>
        </w:rPr>
      </w:pPr>
      <w:r w:rsidRPr="00B050F1">
        <w:rPr>
          <w:rFonts w:ascii="Gill Sans MT" w:hAnsi="Gill Sans MT"/>
          <w:color w:val="000000" w:themeColor="text1"/>
          <w:sz w:val="24"/>
          <w:szCs w:val="24"/>
        </w:rPr>
        <w:t>On behalf of the Minerals and Historic Environment Forum (MHEF), welcome to the consultation on Minerals Extraction and Archaeology: A Practice Guide.</w:t>
      </w:r>
    </w:p>
    <w:p w:rsidR="008B6FF4" w:rsidRPr="00B050F1" w:rsidRDefault="008B6FF4" w:rsidP="00B050F1">
      <w:pPr>
        <w:spacing w:after="0" w:line="240" w:lineRule="auto"/>
        <w:rPr>
          <w:rFonts w:ascii="Gill Sans MT" w:hAnsi="Gill Sans MT"/>
          <w:color w:val="000000" w:themeColor="text1"/>
          <w:sz w:val="24"/>
          <w:szCs w:val="24"/>
        </w:rPr>
      </w:pPr>
    </w:p>
    <w:p w:rsidR="008B6FF4" w:rsidRPr="00B050F1" w:rsidRDefault="008B6FF4" w:rsidP="00B050F1">
      <w:pPr>
        <w:spacing w:after="0" w:line="240" w:lineRule="auto"/>
        <w:rPr>
          <w:rFonts w:ascii="Gill Sans MT" w:hAnsi="Gill Sans MT"/>
          <w:color w:val="000000" w:themeColor="text1"/>
          <w:sz w:val="24"/>
          <w:szCs w:val="24"/>
        </w:rPr>
      </w:pPr>
      <w:r w:rsidRPr="00B050F1">
        <w:rPr>
          <w:rFonts w:ascii="Gill Sans MT" w:hAnsi="Gill Sans MT"/>
          <w:color w:val="000000" w:themeColor="text1"/>
          <w:sz w:val="24"/>
          <w:szCs w:val="24"/>
        </w:rPr>
        <w:t>Following this introduction, this survey of 10 questions is divided into three parts</w:t>
      </w:r>
      <w:r w:rsidR="008D37E8">
        <w:rPr>
          <w:rFonts w:ascii="Gill Sans MT" w:hAnsi="Gill Sans MT"/>
          <w:color w:val="000000" w:themeColor="text1"/>
          <w:sz w:val="24"/>
          <w:szCs w:val="24"/>
        </w:rPr>
        <w:t xml:space="preserve"> to ensure structured responses to our consultation</w:t>
      </w:r>
      <w:r w:rsidRPr="00B050F1">
        <w:rPr>
          <w:rFonts w:ascii="Gill Sans MT" w:hAnsi="Gill Sans MT"/>
          <w:color w:val="000000" w:themeColor="text1"/>
          <w:sz w:val="24"/>
          <w:szCs w:val="24"/>
        </w:rPr>
        <w:t>:</w:t>
      </w:r>
    </w:p>
    <w:p w:rsidR="008B6FF4" w:rsidRPr="00880FB3" w:rsidRDefault="008B6FF4" w:rsidP="00880FB3">
      <w:pPr>
        <w:pStyle w:val="ListParagraph"/>
        <w:numPr>
          <w:ilvl w:val="0"/>
          <w:numId w:val="6"/>
        </w:numPr>
        <w:spacing w:after="0" w:line="240" w:lineRule="auto"/>
        <w:ind w:left="426"/>
        <w:rPr>
          <w:rFonts w:ascii="Gill Sans MT" w:hAnsi="Gill Sans MT"/>
          <w:color w:val="000000" w:themeColor="text1"/>
          <w:sz w:val="24"/>
          <w:szCs w:val="24"/>
        </w:rPr>
      </w:pPr>
      <w:r w:rsidRPr="00880FB3">
        <w:rPr>
          <w:rFonts w:ascii="Gill Sans MT" w:hAnsi="Gill Sans MT"/>
          <w:color w:val="000000" w:themeColor="text1"/>
          <w:sz w:val="24"/>
          <w:szCs w:val="24"/>
        </w:rPr>
        <w:t>Part 1 provides the opportunity to comment on different sections of the draft text</w:t>
      </w:r>
    </w:p>
    <w:p w:rsidR="008B6FF4" w:rsidRPr="00880FB3" w:rsidRDefault="008B6FF4" w:rsidP="00880FB3">
      <w:pPr>
        <w:pStyle w:val="ListParagraph"/>
        <w:numPr>
          <w:ilvl w:val="0"/>
          <w:numId w:val="6"/>
        </w:numPr>
        <w:spacing w:after="0" w:line="240" w:lineRule="auto"/>
        <w:ind w:left="426"/>
        <w:rPr>
          <w:rFonts w:ascii="Gill Sans MT" w:hAnsi="Gill Sans MT"/>
          <w:color w:val="000000" w:themeColor="text1"/>
          <w:sz w:val="24"/>
          <w:szCs w:val="24"/>
        </w:rPr>
      </w:pPr>
      <w:r w:rsidRPr="00880FB3">
        <w:rPr>
          <w:rFonts w:ascii="Gill Sans MT" w:hAnsi="Gill Sans MT"/>
          <w:color w:val="000000" w:themeColor="text1"/>
          <w:sz w:val="24"/>
          <w:szCs w:val="24"/>
        </w:rPr>
        <w:t>Part 2 focuses on evaluation trenching</w:t>
      </w:r>
    </w:p>
    <w:p w:rsidR="008B6FF4" w:rsidRPr="00880FB3" w:rsidRDefault="008B6FF4" w:rsidP="00880FB3">
      <w:pPr>
        <w:pStyle w:val="ListParagraph"/>
        <w:numPr>
          <w:ilvl w:val="0"/>
          <w:numId w:val="6"/>
        </w:numPr>
        <w:spacing w:after="0"/>
        <w:ind w:left="426"/>
        <w:rPr>
          <w:rFonts w:ascii="Gill Sans MT" w:hAnsi="Gill Sans MT"/>
          <w:color w:val="000000" w:themeColor="text1"/>
          <w:sz w:val="24"/>
          <w:szCs w:val="24"/>
        </w:rPr>
      </w:pPr>
      <w:r w:rsidRPr="00880FB3">
        <w:rPr>
          <w:rFonts w:ascii="Gill Sans MT" w:hAnsi="Gill Sans MT"/>
          <w:color w:val="000000" w:themeColor="text1"/>
          <w:sz w:val="24"/>
          <w:szCs w:val="24"/>
        </w:rPr>
        <w:t>Part 3 outlines next steps and provides the opportunity to add any other comments</w:t>
      </w:r>
    </w:p>
    <w:p w:rsidR="008B6FF4" w:rsidRDefault="008B6FF4" w:rsidP="00B050F1">
      <w:pPr>
        <w:spacing w:after="0"/>
        <w:rPr>
          <w:rFonts w:ascii="Gill Sans MT" w:hAnsi="Gill Sans MT"/>
          <w:b/>
          <w:sz w:val="24"/>
          <w:szCs w:val="24"/>
        </w:rPr>
      </w:pPr>
    </w:p>
    <w:p w:rsidR="006E7D69" w:rsidRDefault="006E7D69" w:rsidP="00B050F1">
      <w:pPr>
        <w:spacing w:after="0"/>
        <w:rPr>
          <w:rFonts w:ascii="Gill Sans MT" w:hAnsi="Gill Sans MT"/>
          <w:b/>
          <w:sz w:val="24"/>
          <w:szCs w:val="24"/>
        </w:rPr>
      </w:pPr>
      <w:r>
        <w:rPr>
          <w:rFonts w:ascii="Gill Sans MT" w:hAnsi="Gill Sans MT"/>
          <w:sz w:val="24"/>
          <w:szCs w:val="24"/>
        </w:rPr>
        <w:t>Th</w:t>
      </w:r>
      <w:r w:rsidR="008D37E8">
        <w:rPr>
          <w:rFonts w:ascii="Gill Sans MT" w:hAnsi="Gill Sans MT"/>
          <w:sz w:val="24"/>
          <w:szCs w:val="24"/>
        </w:rPr>
        <w:t>e</w:t>
      </w:r>
      <w:r>
        <w:rPr>
          <w:rFonts w:ascii="Gill Sans MT" w:hAnsi="Gill Sans MT"/>
          <w:sz w:val="24"/>
          <w:szCs w:val="24"/>
        </w:rPr>
        <w:t xml:space="preserve"> consultation seeks to take account of the views </w:t>
      </w:r>
      <w:r w:rsidR="008D37E8">
        <w:rPr>
          <w:rFonts w:ascii="Gill Sans MT" w:hAnsi="Gill Sans MT"/>
          <w:sz w:val="24"/>
          <w:szCs w:val="24"/>
        </w:rPr>
        <w:t>of our</w:t>
      </w:r>
      <w:r>
        <w:rPr>
          <w:rFonts w:ascii="Gill Sans MT" w:hAnsi="Gill Sans MT"/>
          <w:sz w:val="24"/>
          <w:szCs w:val="24"/>
        </w:rPr>
        <w:t xml:space="preserve"> different member organisations. </w:t>
      </w:r>
      <w:r w:rsidRPr="006E7D69">
        <w:rPr>
          <w:rFonts w:ascii="Gill Sans MT" w:hAnsi="Gill Sans MT"/>
          <w:b/>
          <w:sz w:val="24"/>
          <w:szCs w:val="24"/>
        </w:rPr>
        <w:t>Please return this form to your organisational lead</w:t>
      </w:r>
      <w:r>
        <w:rPr>
          <w:rFonts w:ascii="Gill Sans MT" w:hAnsi="Gill Sans MT"/>
          <w:b/>
          <w:sz w:val="24"/>
          <w:szCs w:val="24"/>
        </w:rPr>
        <w:t xml:space="preserve"> by </w:t>
      </w:r>
      <w:r w:rsidR="00FD74DC">
        <w:rPr>
          <w:rFonts w:ascii="Gill Sans MT" w:hAnsi="Gill Sans MT"/>
          <w:b/>
          <w:sz w:val="24"/>
          <w:szCs w:val="24"/>
        </w:rPr>
        <w:t xml:space="preserve">Friday 22 September </w:t>
      </w:r>
      <w:r w:rsidR="00253191">
        <w:rPr>
          <w:rFonts w:ascii="Gill Sans MT" w:hAnsi="Gill Sans MT"/>
          <w:b/>
          <w:sz w:val="24"/>
          <w:szCs w:val="24"/>
        </w:rPr>
        <w:t>2017</w:t>
      </w:r>
      <w:r w:rsidRPr="006E7D69">
        <w:rPr>
          <w:rFonts w:ascii="Gill Sans MT" w:hAnsi="Gill Sans MT"/>
          <w:b/>
          <w:sz w:val="24"/>
          <w:szCs w:val="24"/>
        </w:rPr>
        <w:t>, who will then prepare a single</w:t>
      </w:r>
      <w:r w:rsidR="008D37E8">
        <w:rPr>
          <w:rFonts w:ascii="Gill Sans MT" w:hAnsi="Gill Sans MT"/>
          <w:b/>
          <w:sz w:val="24"/>
          <w:szCs w:val="24"/>
        </w:rPr>
        <w:t>,</w:t>
      </w:r>
      <w:r w:rsidRPr="006E7D69">
        <w:rPr>
          <w:rFonts w:ascii="Gill Sans MT" w:hAnsi="Gill Sans MT"/>
          <w:b/>
          <w:sz w:val="24"/>
          <w:szCs w:val="24"/>
        </w:rPr>
        <w:t xml:space="preserve"> </w:t>
      </w:r>
      <w:r w:rsidR="008D37E8">
        <w:rPr>
          <w:rFonts w:ascii="Gill Sans MT" w:hAnsi="Gill Sans MT"/>
          <w:b/>
          <w:sz w:val="24"/>
          <w:szCs w:val="24"/>
        </w:rPr>
        <w:t xml:space="preserve">summary </w:t>
      </w:r>
      <w:r w:rsidRPr="006E7D69">
        <w:rPr>
          <w:rFonts w:ascii="Gill Sans MT" w:hAnsi="Gill Sans MT"/>
          <w:b/>
          <w:sz w:val="24"/>
          <w:szCs w:val="24"/>
        </w:rPr>
        <w:t>organisational response</w:t>
      </w:r>
      <w:r>
        <w:rPr>
          <w:rFonts w:ascii="Gill Sans MT" w:hAnsi="Gill Sans MT"/>
          <w:b/>
          <w:sz w:val="24"/>
          <w:szCs w:val="24"/>
        </w:rPr>
        <w:t>.</w:t>
      </w:r>
      <w:r w:rsidR="004834B7">
        <w:rPr>
          <w:rFonts w:ascii="Gill Sans MT" w:hAnsi="Gill Sans MT"/>
          <w:b/>
          <w:sz w:val="24"/>
          <w:szCs w:val="24"/>
        </w:rPr>
        <w:t xml:space="preserve"> Questions 1 and 2 are to be completed by the organisational lead when submitting the response.</w:t>
      </w:r>
    </w:p>
    <w:p w:rsidR="006E7D69" w:rsidRPr="00B050F1" w:rsidRDefault="006E7D69" w:rsidP="00B050F1">
      <w:pPr>
        <w:spacing w:after="0"/>
        <w:rPr>
          <w:rFonts w:ascii="Gill Sans MT" w:hAnsi="Gill Sans MT"/>
          <w:b/>
          <w:sz w:val="24"/>
          <w:szCs w:val="24"/>
        </w:rPr>
      </w:pPr>
    </w:p>
    <w:p w:rsidR="008B6FF4" w:rsidRPr="00FE6DB9" w:rsidRDefault="008B6FF4" w:rsidP="00FE6DB9">
      <w:pPr>
        <w:pStyle w:val="ListParagraph"/>
        <w:numPr>
          <w:ilvl w:val="0"/>
          <w:numId w:val="7"/>
        </w:numPr>
        <w:spacing w:after="0"/>
        <w:rPr>
          <w:rFonts w:ascii="Gill Sans MT" w:hAnsi="Gill Sans MT"/>
          <w:b/>
          <w:color w:val="808080" w:themeColor="background1" w:themeShade="80"/>
          <w:sz w:val="24"/>
          <w:szCs w:val="24"/>
        </w:rPr>
      </w:pPr>
      <w:r w:rsidRPr="00FE6DB9">
        <w:rPr>
          <w:rFonts w:ascii="Gill Sans MT" w:hAnsi="Gill Sans MT"/>
          <w:b/>
          <w:color w:val="808080" w:themeColor="background1" w:themeShade="80"/>
          <w:sz w:val="24"/>
          <w:szCs w:val="24"/>
        </w:rPr>
        <w:t xml:space="preserve">What is </w:t>
      </w:r>
      <w:r w:rsidR="008D37E8" w:rsidRPr="00FE6DB9">
        <w:rPr>
          <w:rFonts w:ascii="Gill Sans MT" w:hAnsi="Gill Sans MT"/>
          <w:b/>
          <w:color w:val="808080" w:themeColor="background1" w:themeShade="80"/>
          <w:sz w:val="24"/>
          <w:szCs w:val="24"/>
        </w:rPr>
        <w:t xml:space="preserve">the </w:t>
      </w:r>
      <w:r w:rsidRPr="00FE6DB9">
        <w:rPr>
          <w:rFonts w:ascii="Gill Sans MT" w:hAnsi="Gill Sans MT"/>
          <w:b/>
          <w:color w:val="808080" w:themeColor="background1" w:themeShade="80"/>
          <w:sz w:val="24"/>
          <w:szCs w:val="24"/>
        </w:rPr>
        <w:t>name of your organisation? This is needed to identify which MHEF members have responded.</w:t>
      </w:r>
    </w:p>
    <w:p w:rsidR="00FE6DB9" w:rsidRDefault="00FE6DB9" w:rsidP="00FE6DB9">
      <w:pPr>
        <w:pStyle w:val="ListParagraph"/>
        <w:spacing w:after="0"/>
        <w:rPr>
          <w:rFonts w:ascii="Gill Sans MT" w:hAnsi="Gill Sans MT"/>
          <w:color w:val="808080" w:themeColor="background1" w:themeShade="80"/>
          <w:sz w:val="24"/>
          <w:szCs w:val="24"/>
        </w:rPr>
      </w:pPr>
    </w:p>
    <w:p w:rsidR="00FE6DB9" w:rsidRPr="00FE6DB9" w:rsidRDefault="00FE6DB9" w:rsidP="00FE6DB9">
      <w:pPr>
        <w:pStyle w:val="ListParagraph"/>
        <w:spacing w:after="0"/>
        <w:rPr>
          <w:rFonts w:ascii="Gill Sans MT" w:hAnsi="Gill Sans MT"/>
          <w:color w:val="808080" w:themeColor="background1" w:themeShade="80"/>
          <w:sz w:val="24"/>
          <w:szCs w:val="24"/>
        </w:rPr>
      </w:pPr>
      <w:r>
        <w:rPr>
          <w:rFonts w:ascii="Gill Sans MT" w:hAnsi="Gill Sans MT"/>
          <w:color w:val="808080" w:themeColor="background1" w:themeShade="80"/>
          <w:sz w:val="24"/>
          <w:szCs w:val="24"/>
        </w:rPr>
        <w:t>Chartered Institute for Archaeologists (CIfA)</w:t>
      </w:r>
      <w:r w:rsidR="00992BAC">
        <w:rPr>
          <w:rFonts w:ascii="Gill Sans MT" w:hAnsi="Gill Sans MT"/>
          <w:color w:val="808080" w:themeColor="background1" w:themeShade="80"/>
          <w:sz w:val="24"/>
          <w:szCs w:val="24"/>
        </w:rPr>
        <w:t xml:space="preserve"> and </w:t>
      </w:r>
      <w:r w:rsidR="00950674">
        <w:rPr>
          <w:rFonts w:ascii="Gill Sans MT" w:hAnsi="Gill Sans MT"/>
          <w:color w:val="808080" w:themeColor="background1" w:themeShade="80"/>
          <w:sz w:val="24"/>
          <w:szCs w:val="24"/>
        </w:rPr>
        <w:t>Council for British Archaeology (CBA)</w:t>
      </w:r>
    </w:p>
    <w:p w:rsidR="00B050F1" w:rsidRPr="004834B7" w:rsidRDefault="00B050F1" w:rsidP="00B050F1">
      <w:pPr>
        <w:spacing w:after="0"/>
        <w:rPr>
          <w:rFonts w:ascii="Gill Sans MT" w:hAnsi="Gill Sans MT"/>
          <w:b/>
          <w:color w:val="808080" w:themeColor="background1" w:themeShade="80"/>
          <w:sz w:val="24"/>
          <w:szCs w:val="24"/>
        </w:rPr>
      </w:pPr>
    </w:p>
    <w:p w:rsidR="008B6FF4" w:rsidRPr="00FE6DB9" w:rsidRDefault="008B6FF4" w:rsidP="00FE6DB9">
      <w:pPr>
        <w:pStyle w:val="ListParagraph"/>
        <w:numPr>
          <w:ilvl w:val="0"/>
          <w:numId w:val="7"/>
        </w:numPr>
        <w:spacing w:after="0"/>
        <w:rPr>
          <w:rFonts w:ascii="Gill Sans MT" w:hAnsi="Gill Sans MT"/>
          <w:b/>
          <w:color w:val="808080" w:themeColor="background1" w:themeShade="80"/>
          <w:sz w:val="24"/>
          <w:szCs w:val="24"/>
        </w:rPr>
      </w:pPr>
      <w:r w:rsidRPr="00FE6DB9">
        <w:rPr>
          <w:rFonts w:ascii="Gill Sans MT" w:hAnsi="Gill Sans MT"/>
          <w:b/>
          <w:color w:val="808080" w:themeColor="background1" w:themeShade="80"/>
          <w:sz w:val="24"/>
          <w:szCs w:val="24"/>
        </w:rPr>
        <w:t xml:space="preserve">Please provide a contact email address. The names of individuals will not be included in subsequent analysis, but it is important that MHEF </w:t>
      </w:r>
      <w:proofErr w:type="gramStart"/>
      <w:r w:rsidRPr="00FE6DB9">
        <w:rPr>
          <w:rFonts w:ascii="Gill Sans MT" w:hAnsi="Gill Sans MT"/>
          <w:b/>
          <w:color w:val="808080" w:themeColor="background1" w:themeShade="80"/>
          <w:sz w:val="24"/>
          <w:szCs w:val="24"/>
        </w:rPr>
        <w:t>is able to</w:t>
      </w:r>
      <w:proofErr w:type="gramEnd"/>
      <w:r w:rsidRPr="00FE6DB9">
        <w:rPr>
          <w:rFonts w:ascii="Gill Sans MT" w:hAnsi="Gill Sans MT"/>
          <w:b/>
          <w:color w:val="808080" w:themeColor="background1" w:themeShade="80"/>
          <w:sz w:val="24"/>
          <w:szCs w:val="24"/>
        </w:rPr>
        <w:t xml:space="preserve"> follow-up with any queries about the responses received.</w:t>
      </w:r>
    </w:p>
    <w:p w:rsidR="00FE6DB9" w:rsidRDefault="00FE6DB9" w:rsidP="00FE6DB9">
      <w:pPr>
        <w:pStyle w:val="ListParagraph"/>
        <w:spacing w:after="0"/>
        <w:rPr>
          <w:rFonts w:ascii="Gill Sans MT" w:hAnsi="Gill Sans MT"/>
          <w:color w:val="808080" w:themeColor="background1" w:themeShade="80"/>
          <w:sz w:val="24"/>
          <w:szCs w:val="24"/>
        </w:rPr>
      </w:pPr>
    </w:p>
    <w:p w:rsidR="00FE6DB9" w:rsidRPr="00FE6DB9" w:rsidRDefault="00FE6DB9" w:rsidP="00FE6DB9">
      <w:pPr>
        <w:pStyle w:val="ListParagraph"/>
        <w:spacing w:after="0"/>
        <w:rPr>
          <w:rFonts w:ascii="Gill Sans MT" w:hAnsi="Gill Sans MT"/>
          <w:color w:val="808080" w:themeColor="background1" w:themeShade="80"/>
          <w:sz w:val="24"/>
          <w:szCs w:val="24"/>
        </w:rPr>
      </w:pPr>
      <w:r>
        <w:rPr>
          <w:rFonts w:ascii="Gill Sans MT" w:hAnsi="Gill Sans MT"/>
          <w:color w:val="808080" w:themeColor="background1" w:themeShade="80"/>
          <w:sz w:val="24"/>
          <w:szCs w:val="24"/>
        </w:rPr>
        <w:t>tim.howard@archaeologists.net</w:t>
      </w:r>
    </w:p>
    <w:p w:rsidR="008B6FF4" w:rsidRDefault="008B6FF4" w:rsidP="00B050F1">
      <w:pPr>
        <w:spacing w:after="0"/>
        <w:rPr>
          <w:rFonts w:ascii="Gill Sans MT" w:hAnsi="Gill Sans MT"/>
          <w:color w:val="000000" w:themeColor="text1"/>
          <w:sz w:val="24"/>
          <w:szCs w:val="24"/>
        </w:rPr>
      </w:pPr>
    </w:p>
    <w:p w:rsidR="00B050F1" w:rsidRPr="00B050F1" w:rsidRDefault="00B050F1" w:rsidP="00B050F1">
      <w:pPr>
        <w:spacing w:after="0"/>
        <w:rPr>
          <w:rFonts w:ascii="Gill Sans MT" w:hAnsi="Gill Sans MT"/>
          <w:color w:val="000000" w:themeColor="text1"/>
          <w:sz w:val="24"/>
          <w:szCs w:val="24"/>
        </w:rPr>
      </w:pPr>
    </w:p>
    <w:p w:rsidR="008B6FF4" w:rsidRPr="00B050F1" w:rsidRDefault="008B6FF4" w:rsidP="00B050F1">
      <w:pPr>
        <w:spacing w:after="0"/>
        <w:rPr>
          <w:rFonts w:ascii="Gill Sans MT" w:hAnsi="Gill Sans MT"/>
          <w:b/>
          <w:sz w:val="24"/>
          <w:szCs w:val="24"/>
        </w:rPr>
      </w:pPr>
      <w:r w:rsidRPr="00B050F1">
        <w:rPr>
          <w:rFonts w:ascii="Gill Sans MT" w:hAnsi="Gill Sans MT"/>
          <w:b/>
          <w:sz w:val="24"/>
          <w:szCs w:val="24"/>
        </w:rPr>
        <w:t>PART 1: COMMENTS ON DIFFERENT SECTIONS</w:t>
      </w:r>
    </w:p>
    <w:p w:rsidR="008B6FF4" w:rsidRDefault="008B6FF4" w:rsidP="00B050F1">
      <w:pPr>
        <w:spacing w:after="0"/>
        <w:rPr>
          <w:rFonts w:ascii="Gill Sans MT" w:hAnsi="Gill Sans MT"/>
          <w:b/>
          <w:sz w:val="24"/>
          <w:szCs w:val="24"/>
        </w:rPr>
      </w:pPr>
      <w:r w:rsidRPr="00B050F1">
        <w:rPr>
          <w:rFonts w:ascii="Gill Sans MT" w:hAnsi="Gill Sans MT"/>
          <w:b/>
          <w:sz w:val="24"/>
          <w:szCs w:val="24"/>
        </w:rPr>
        <w:t>Here we offer the opportunity to comment on different sections in the draft guidance. Please be as specific as possible, quoting the paragraph number and your comment. If you think that the current wording should be changed, please suggest alternative wording.</w:t>
      </w:r>
    </w:p>
    <w:p w:rsidR="00FE6DB9" w:rsidRDefault="00FE6DB9" w:rsidP="00B050F1">
      <w:pPr>
        <w:spacing w:after="0"/>
        <w:rPr>
          <w:rFonts w:ascii="Gill Sans MT" w:hAnsi="Gill Sans MT"/>
          <w:b/>
          <w:sz w:val="24"/>
          <w:szCs w:val="24"/>
        </w:rPr>
      </w:pPr>
    </w:p>
    <w:p w:rsidR="00992BAC" w:rsidRDefault="00E716CB" w:rsidP="00950674">
      <w:pPr>
        <w:spacing w:after="0"/>
        <w:jc w:val="both"/>
        <w:rPr>
          <w:rFonts w:ascii="Gill Sans MT" w:hAnsi="Gill Sans MT"/>
          <w:i/>
          <w:sz w:val="24"/>
          <w:szCs w:val="24"/>
        </w:rPr>
      </w:pPr>
      <w:r>
        <w:rPr>
          <w:rFonts w:ascii="Gill Sans MT" w:hAnsi="Gill Sans MT"/>
          <w:sz w:val="24"/>
          <w:szCs w:val="24"/>
        </w:rPr>
        <w:t xml:space="preserve">There were mixed views from internal consultees upon the revised draft guide. However, the majority of views were generally positive, instanced by the following response: </w:t>
      </w:r>
      <w:r>
        <w:rPr>
          <w:rFonts w:ascii="Gill Sans MT" w:hAnsi="Gill Sans MT"/>
          <w:i/>
          <w:sz w:val="24"/>
          <w:szCs w:val="24"/>
        </w:rPr>
        <w:t xml:space="preserve">‘I am delighted to see how well the </w:t>
      </w:r>
      <w:r>
        <w:rPr>
          <w:rFonts w:ascii="Gill Sans MT" w:hAnsi="Gill Sans MT"/>
          <w:sz w:val="24"/>
          <w:szCs w:val="24"/>
        </w:rPr>
        <w:t xml:space="preserve">[principles and approaches promoted in the original guide] </w:t>
      </w:r>
      <w:r>
        <w:rPr>
          <w:rFonts w:ascii="Gill Sans MT" w:hAnsi="Gill Sans MT"/>
          <w:i/>
          <w:sz w:val="24"/>
          <w:szCs w:val="24"/>
        </w:rPr>
        <w:t>have stood the test of time and have been further developed and “codified” in the latest document.’</w:t>
      </w:r>
    </w:p>
    <w:p w:rsidR="00E716CB" w:rsidRPr="00E716CB" w:rsidRDefault="00E716CB" w:rsidP="00950674">
      <w:pPr>
        <w:spacing w:after="0"/>
        <w:jc w:val="both"/>
        <w:rPr>
          <w:rFonts w:ascii="Gill Sans MT" w:hAnsi="Gill Sans MT"/>
          <w:i/>
          <w:sz w:val="24"/>
          <w:szCs w:val="24"/>
        </w:rPr>
      </w:pPr>
    </w:p>
    <w:p w:rsidR="00950674" w:rsidRPr="00950674" w:rsidRDefault="00E716CB" w:rsidP="00950674">
      <w:pPr>
        <w:spacing w:after="0"/>
        <w:jc w:val="both"/>
        <w:rPr>
          <w:rFonts w:ascii="Gill Sans MT" w:hAnsi="Gill Sans MT"/>
          <w:sz w:val="24"/>
          <w:szCs w:val="24"/>
        </w:rPr>
      </w:pPr>
      <w:r>
        <w:rPr>
          <w:rFonts w:ascii="Gill Sans MT" w:hAnsi="Gill Sans MT"/>
          <w:sz w:val="24"/>
          <w:szCs w:val="24"/>
        </w:rPr>
        <w:t>Indeed, t</w:t>
      </w:r>
      <w:r w:rsidR="00950674">
        <w:rPr>
          <w:rFonts w:ascii="Gill Sans MT" w:hAnsi="Gill Sans MT"/>
          <w:sz w:val="24"/>
          <w:szCs w:val="24"/>
        </w:rPr>
        <w:t xml:space="preserve">here is much to commend in the draft guide which provides a necessary updating and revision of the current practice guide embracing the NPPF and providing greater emphasis upon sustainable development and public benefit. </w:t>
      </w:r>
      <w:r>
        <w:rPr>
          <w:rFonts w:ascii="Gill Sans MT" w:hAnsi="Gill Sans MT"/>
          <w:sz w:val="24"/>
          <w:szCs w:val="24"/>
        </w:rPr>
        <w:t xml:space="preserve">Nevertheless, there were concerns (even amongst those consultees who were generally positive) focusing on issues such as potential divergence from </w:t>
      </w:r>
      <w:r>
        <w:rPr>
          <w:rFonts w:ascii="Gill Sans MT" w:hAnsi="Gill Sans MT"/>
          <w:sz w:val="24"/>
          <w:szCs w:val="24"/>
        </w:rPr>
        <w:lastRenderedPageBreak/>
        <w:t xml:space="preserve">the National Planning Policy Framework (NPPF) and evaluation trenching. </w:t>
      </w:r>
      <w:r w:rsidR="00950674">
        <w:rPr>
          <w:rFonts w:ascii="Gill Sans MT" w:hAnsi="Gill Sans MT"/>
          <w:sz w:val="24"/>
          <w:szCs w:val="24"/>
        </w:rPr>
        <w:t xml:space="preserve">The following comments highlight </w:t>
      </w:r>
      <w:r>
        <w:rPr>
          <w:rFonts w:ascii="Gill Sans MT" w:hAnsi="Gill Sans MT"/>
          <w:sz w:val="24"/>
          <w:szCs w:val="24"/>
        </w:rPr>
        <w:t xml:space="preserve">some of those </w:t>
      </w:r>
      <w:r w:rsidR="00950674">
        <w:rPr>
          <w:rFonts w:ascii="Gill Sans MT" w:hAnsi="Gill Sans MT"/>
          <w:sz w:val="24"/>
          <w:szCs w:val="24"/>
        </w:rPr>
        <w:t>concerns.</w:t>
      </w:r>
    </w:p>
    <w:p w:rsidR="00950674" w:rsidRDefault="00950674" w:rsidP="00B050F1">
      <w:pPr>
        <w:spacing w:after="0"/>
        <w:rPr>
          <w:rFonts w:ascii="Gill Sans MT" w:hAnsi="Gill Sans MT"/>
          <w:sz w:val="24"/>
          <w:szCs w:val="24"/>
        </w:rPr>
      </w:pPr>
    </w:p>
    <w:p w:rsidR="00FE6DB9" w:rsidRPr="00FE6DB9" w:rsidRDefault="00E716CB" w:rsidP="00840B21">
      <w:pPr>
        <w:spacing w:after="0"/>
        <w:jc w:val="both"/>
        <w:rPr>
          <w:rFonts w:ascii="Gill Sans MT" w:hAnsi="Gill Sans MT"/>
          <w:sz w:val="24"/>
          <w:szCs w:val="24"/>
        </w:rPr>
      </w:pPr>
      <w:r>
        <w:rPr>
          <w:rFonts w:ascii="Gill Sans MT" w:hAnsi="Gill Sans MT"/>
          <w:sz w:val="24"/>
          <w:szCs w:val="24"/>
        </w:rPr>
        <w:t>More detailed comments can be found in the</w:t>
      </w:r>
      <w:r w:rsidR="00FE6DB9">
        <w:rPr>
          <w:rFonts w:ascii="Gill Sans MT" w:hAnsi="Gill Sans MT"/>
          <w:sz w:val="24"/>
          <w:szCs w:val="24"/>
        </w:rPr>
        <w:t xml:space="preserve"> annotated draft</w:t>
      </w:r>
      <w:r w:rsidR="00950674">
        <w:rPr>
          <w:rFonts w:ascii="Gill Sans MT" w:hAnsi="Gill Sans MT"/>
          <w:sz w:val="24"/>
          <w:szCs w:val="24"/>
        </w:rPr>
        <w:t xml:space="preserve"> </w:t>
      </w:r>
      <w:r>
        <w:rPr>
          <w:rFonts w:ascii="Gill Sans MT" w:hAnsi="Gill Sans MT"/>
          <w:sz w:val="24"/>
          <w:szCs w:val="24"/>
        </w:rPr>
        <w:t>which accompanies (and forms part of) this response</w:t>
      </w:r>
      <w:r w:rsidR="00FE6DB9">
        <w:rPr>
          <w:rFonts w:ascii="Gill Sans MT" w:hAnsi="Gill Sans MT"/>
          <w:sz w:val="24"/>
          <w:szCs w:val="24"/>
        </w:rPr>
        <w:t>.</w:t>
      </w:r>
      <w:r>
        <w:rPr>
          <w:rFonts w:ascii="Gill Sans MT" w:hAnsi="Gill Sans MT"/>
          <w:sz w:val="24"/>
          <w:szCs w:val="24"/>
        </w:rPr>
        <w:t xml:space="preserve"> Please note that although the comments are attributed to one author (by virtue of editing and synthesis) they represent the views of a number of internal consultees </w:t>
      </w:r>
      <w:r w:rsidR="00337E78">
        <w:rPr>
          <w:rFonts w:ascii="Gill Sans MT" w:hAnsi="Gill Sans MT"/>
          <w:sz w:val="24"/>
          <w:szCs w:val="24"/>
        </w:rPr>
        <w:t>who are not always in agreement. Likewise, suggested revisions to the text emanate from a variety of consultees and may not always be internally consistent.</w:t>
      </w:r>
    </w:p>
    <w:p w:rsidR="00B050F1" w:rsidRDefault="00B050F1" w:rsidP="00B050F1">
      <w:pPr>
        <w:spacing w:after="0"/>
        <w:rPr>
          <w:rFonts w:ascii="Gill Sans MT" w:hAnsi="Gill Sans MT"/>
          <w:sz w:val="24"/>
          <w:szCs w:val="24"/>
        </w:rPr>
      </w:pPr>
    </w:p>
    <w:p w:rsidR="008B6FF4" w:rsidRPr="00295A6D" w:rsidRDefault="008B6FF4" w:rsidP="00295A6D">
      <w:pPr>
        <w:pStyle w:val="ListParagraph"/>
        <w:numPr>
          <w:ilvl w:val="0"/>
          <w:numId w:val="7"/>
        </w:numPr>
        <w:spacing w:after="0"/>
        <w:rPr>
          <w:rFonts w:ascii="Gill Sans MT" w:hAnsi="Gill Sans MT"/>
          <w:b/>
          <w:sz w:val="24"/>
          <w:szCs w:val="24"/>
        </w:rPr>
      </w:pPr>
      <w:r w:rsidRPr="00295A6D">
        <w:rPr>
          <w:rFonts w:ascii="Gill Sans MT" w:hAnsi="Gill Sans MT"/>
          <w:b/>
          <w:sz w:val="24"/>
          <w:szCs w:val="24"/>
        </w:rPr>
        <w:t>Preface and Introduction (pages 2-4)</w:t>
      </w:r>
    </w:p>
    <w:p w:rsidR="00295A6D" w:rsidRDefault="00295A6D" w:rsidP="00295A6D">
      <w:pPr>
        <w:spacing w:after="0"/>
        <w:ind w:left="360"/>
        <w:rPr>
          <w:rFonts w:ascii="Gill Sans MT" w:hAnsi="Gill Sans MT"/>
          <w:b/>
          <w:sz w:val="24"/>
          <w:szCs w:val="24"/>
        </w:rPr>
      </w:pPr>
    </w:p>
    <w:p w:rsidR="00295A6D" w:rsidRPr="003F4E77" w:rsidRDefault="00295A6D" w:rsidP="00295A6D">
      <w:pPr>
        <w:spacing w:after="0"/>
        <w:ind w:left="360"/>
        <w:jc w:val="both"/>
        <w:rPr>
          <w:rFonts w:ascii="Gill Sans MT" w:hAnsi="Gill Sans MT"/>
          <w:i/>
          <w:sz w:val="24"/>
          <w:szCs w:val="24"/>
        </w:rPr>
      </w:pPr>
      <w:r>
        <w:rPr>
          <w:rFonts w:ascii="Gill Sans MT" w:hAnsi="Gill Sans MT"/>
          <w:sz w:val="24"/>
          <w:szCs w:val="24"/>
        </w:rPr>
        <w:t>Notwithstanding the expressed aim in paragraph 2 of the Introduction, there appears to be a s</w:t>
      </w:r>
      <w:r w:rsidRPr="00295A6D">
        <w:rPr>
          <w:rFonts w:ascii="Gill Sans MT" w:hAnsi="Gill Sans MT"/>
          <w:sz w:val="24"/>
          <w:szCs w:val="24"/>
        </w:rPr>
        <w:t>hift in tone</w:t>
      </w:r>
      <w:r w:rsidR="00B03A69">
        <w:rPr>
          <w:rFonts w:ascii="Gill Sans MT" w:hAnsi="Gill Sans MT"/>
          <w:sz w:val="24"/>
          <w:szCs w:val="24"/>
        </w:rPr>
        <w:t xml:space="preserve"> of the document as a whole</w:t>
      </w:r>
      <w:r>
        <w:rPr>
          <w:rFonts w:ascii="Gill Sans MT" w:hAnsi="Gill Sans MT"/>
          <w:sz w:val="24"/>
          <w:szCs w:val="24"/>
        </w:rPr>
        <w:t xml:space="preserve"> </w:t>
      </w:r>
      <w:r w:rsidR="00B03A69">
        <w:rPr>
          <w:rFonts w:ascii="Gill Sans MT" w:hAnsi="Gill Sans MT"/>
          <w:sz w:val="24"/>
          <w:szCs w:val="24"/>
        </w:rPr>
        <w:t>(</w:t>
      </w:r>
      <w:r>
        <w:rPr>
          <w:rFonts w:ascii="Gill Sans MT" w:hAnsi="Gill Sans MT"/>
          <w:sz w:val="24"/>
          <w:szCs w:val="24"/>
        </w:rPr>
        <w:t>when compared to the current practice guide</w:t>
      </w:r>
      <w:r w:rsidR="00B03A69">
        <w:rPr>
          <w:rFonts w:ascii="Gill Sans MT" w:hAnsi="Gill Sans MT"/>
          <w:sz w:val="24"/>
          <w:szCs w:val="24"/>
        </w:rPr>
        <w:t>)</w:t>
      </w:r>
      <w:r w:rsidRPr="00295A6D">
        <w:rPr>
          <w:rFonts w:ascii="Gill Sans MT" w:hAnsi="Gill Sans MT"/>
          <w:sz w:val="24"/>
          <w:szCs w:val="24"/>
        </w:rPr>
        <w:t xml:space="preserve"> from concentrating primarily upon the archaeological implications of development to explaining the implications of archaeological intervention for the minerals industry.</w:t>
      </w:r>
      <w:r w:rsidR="00B03A69">
        <w:rPr>
          <w:rFonts w:ascii="Gill Sans MT" w:hAnsi="Gill Sans MT"/>
          <w:sz w:val="24"/>
          <w:szCs w:val="24"/>
        </w:rPr>
        <w:t xml:space="preserve"> </w:t>
      </w:r>
      <w:r w:rsidR="002E672C">
        <w:rPr>
          <w:rFonts w:ascii="Gill Sans MT" w:hAnsi="Gill Sans MT"/>
          <w:sz w:val="24"/>
          <w:szCs w:val="24"/>
        </w:rPr>
        <w:t xml:space="preserve">This is consistent with the results of the </w:t>
      </w:r>
      <w:r w:rsidR="002E672C" w:rsidRPr="002E672C">
        <w:rPr>
          <w:rFonts w:ascii="Gill Sans MT" w:hAnsi="Gill Sans MT"/>
          <w:sz w:val="24"/>
          <w:szCs w:val="24"/>
        </w:rPr>
        <w:t>survey</w:t>
      </w:r>
      <w:r w:rsidR="002E672C">
        <w:rPr>
          <w:rFonts w:ascii="Gill Sans MT" w:hAnsi="Gill Sans MT"/>
          <w:sz w:val="24"/>
          <w:szCs w:val="24"/>
        </w:rPr>
        <w:t xml:space="preserve"> undertaken</w:t>
      </w:r>
      <w:r w:rsidR="002E672C" w:rsidRPr="002E672C">
        <w:rPr>
          <w:rFonts w:ascii="Gill Sans MT" w:hAnsi="Gill Sans MT"/>
          <w:sz w:val="24"/>
          <w:szCs w:val="24"/>
        </w:rPr>
        <w:t xml:space="preserve"> by MHEF and subsequent discussion</w:t>
      </w:r>
      <w:r w:rsidR="00607D09">
        <w:rPr>
          <w:rFonts w:ascii="Gill Sans MT" w:hAnsi="Gill Sans MT"/>
          <w:sz w:val="24"/>
          <w:szCs w:val="24"/>
        </w:rPr>
        <w:t xml:space="preserve"> </w:t>
      </w:r>
      <w:r w:rsidR="002E672C">
        <w:rPr>
          <w:rFonts w:ascii="Gill Sans MT" w:hAnsi="Gill Sans MT"/>
          <w:sz w:val="24"/>
          <w:szCs w:val="24"/>
        </w:rPr>
        <w:t>which concluded that</w:t>
      </w:r>
      <w:r w:rsidR="002E672C" w:rsidRPr="002E672C">
        <w:t xml:space="preserve"> </w:t>
      </w:r>
      <w:r w:rsidR="002E672C" w:rsidRPr="002E672C">
        <w:rPr>
          <w:rFonts w:ascii="Gill Sans MT" w:hAnsi="Gill Sans MT"/>
          <w:sz w:val="24"/>
          <w:szCs w:val="24"/>
        </w:rPr>
        <w:t>that it would be helpful for the guide to explain the economics and issues of the minerals industry better to archaeologists</w:t>
      </w:r>
      <w:r w:rsidR="002E672C">
        <w:rPr>
          <w:rFonts w:ascii="Gill Sans MT" w:hAnsi="Gill Sans MT"/>
          <w:sz w:val="24"/>
          <w:szCs w:val="24"/>
        </w:rPr>
        <w:t xml:space="preserve"> </w:t>
      </w:r>
      <w:r w:rsidR="00607D09">
        <w:rPr>
          <w:rFonts w:ascii="Gill Sans MT" w:hAnsi="Gill Sans MT"/>
          <w:sz w:val="24"/>
          <w:szCs w:val="24"/>
        </w:rPr>
        <w:t>However,</w:t>
      </w:r>
      <w:r w:rsidR="002078E3">
        <w:rPr>
          <w:rFonts w:ascii="Gill Sans MT" w:hAnsi="Gill Sans MT"/>
          <w:sz w:val="24"/>
          <w:szCs w:val="24"/>
        </w:rPr>
        <w:t xml:space="preserve"> </w:t>
      </w:r>
      <w:r w:rsidR="00337E78">
        <w:rPr>
          <w:rFonts w:ascii="Gill Sans MT" w:hAnsi="Gill Sans MT"/>
          <w:sz w:val="24"/>
          <w:szCs w:val="24"/>
        </w:rPr>
        <w:t xml:space="preserve">this should not be allowed in any way to undermine the principles of the NPPF and </w:t>
      </w:r>
      <w:r w:rsidR="003F4E77">
        <w:rPr>
          <w:rFonts w:ascii="Gill Sans MT" w:hAnsi="Gill Sans MT"/>
          <w:sz w:val="24"/>
          <w:szCs w:val="24"/>
        </w:rPr>
        <w:t xml:space="preserve">the basic tenet (recognised in text box 2 of the draft) that </w:t>
      </w:r>
      <w:r w:rsidR="003F4E77">
        <w:rPr>
          <w:rFonts w:ascii="Gill Sans MT" w:hAnsi="Gill Sans MT"/>
          <w:i/>
          <w:sz w:val="24"/>
          <w:szCs w:val="24"/>
        </w:rPr>
        <w:t>‘</w:t>
      </w:r>
      <w:r w:rsidR="003F4E77" w:rsidRPr="003F4E77">
        <w:rPr>
          <w:rFonts w:ascii="Gill Sans MT" w:hAnsi="Gill Sans MT"/>
          <w:i/>
          <w:sz w:val="24"/>
          <w:szCs w:val="24"/>
        </w:rPr>
        <w:t>Archaeological evaluation must take place at the pre-determination stage (NPPF, para 128) rather than post-permission via condition.</w:t>
      </w:r>
      <w:r w:rsidR="003F4E77">
        <w:rPr>
          <w:rFonts w:ascii="Gill Sans MT" w:hAnsi="Gill Sans MT"/>
          <w:i/>
          <w:sz w:val="24"/>
          <w:szCs w:val="24"/>
        </w:rPr>
        <w:t>’</w:t>
      </w:r>
    </w:p>
    <w:p w:rsidR="008B6FF4" w:rsidRPr="00B050F1" w:rsidRDefault="008B6FF4" w:rsidP="00B050F1">
      <w:pPr>
        <w:spacing w:after="0"/>
        <w:rPr>
          <w:rFonts w:ascii="Gill Sans MT" w:hAnsi="Gill Sans MT"/>
          <w:sz w:val="24"/>
          <w:szCs w:val="24"/>
        </w:rPr>
      </w:pPr>
    </w:p>
    <w:p w:rsidR="008B6FF4" w:rsidRPr="003F4E77" w:rsidRDefault="008B6FF4" w:rsidP="003F4E77">
      <w:pPr>
        <w:pStyle w:val="ListParagraph"/>
        <w:numPr>
          <w:ilvl w:val="0"/>
          <w:numId w:val="7"/>
        </w:numPr>
        <w:spacing w:after="0"/>
        <w:rPr>
          <w:rFonts w:ascii="Gill Sans MT" w:hAnsi="Gill Sans MT"/>
          <w:b/>
          <w:sz w:val="24"/>
          <w:szCs w:val="24"/>
        </w:rPr>
      </w:pPr>
      <w:r w:rsidRPr="003F4E77">
        <w:rPr>
          <w:rFonts w:ascii="Gill Sans MT" w:hAnsi="Gill Sans MT"/>
          <w:b/>
          <w:sz w:val="24"/>
          <w:szCs w:val="24"/>
        </w:rPr>
        <w:t>Key Issues to Consider (pages 5-14)</w:t>
      </w:r>
    </w:p>
    <w:p w:rsidR="003F4E77" w:rsidRDefault="003F4E77" w:rsidP="003F4E77">
      <w:pPr>
        <w:spacing w:after="0"/>
        <w:ind w:left="360"/>
        <w:rPr>
          <w:rFonts w:ascii="Gill Sans MT" w:hAnsi="Gill Sans MT"/>
          <w:b/>
          <w:sz w:val="24"/>
          <w:szCs w:val="24"/>
        </w:rPr>
      </w:pPr>
    </w:p>
    <w:p w:rsidR="003F4E77" w:rsidRDefault="00496C9C" w:rsidP="00EE7920">
      <w:pPr>
        <w:spacing w:after="0"/>
        <w:ind w:left="360"/>
        <w:jc w:val="both"/>
        <w:rPr>
          <w:rFonts w:ascii="Gill Sans MT" w:hAnsi="Gill Sans MT"/>
          <w:sz w:val="24"/>
          <w:szCs w:val="24"/>
        </w:rPr>
      </w:pPr>
      <w:r>
        <w:rPr>
          <w:rFonts w:ascii="Gill Sans MT" w:hAnsi="Gill Sans MT"/>
          <w:sz w:val="24"/>
          <w:szCs w:val="24"/>
        </w:rPr>
        <w:t>Although some understanding of the nature and requirements of the minerals sector is useful,</w:t>
      </w:r>
      <w:r w:rsidR="00EE7920">
        <w:rPr>
          <w:rFonts w:ascii="Gill Sans MT" w:hAnsi="Gill Sans MT"/>
          <w:sz w:val="24"/>
          <w:szCs w:val="24"/>
        </w:rPr>
        <w:t xml:space="preserve"> some parts of this section (for instance,</w:t>
      </w:r>
      <w:r>
        <w:rPr>
          <w:rFonts w:ascii="Gill Sans MT" w:hAnsi="Gill Sans MT"/>
          <w:sz w:val="24"/>
          <w:szCs w:val="24"/>
        </w:rPr>
        <w:t xml:space="preserve"> paragraphs 22 to 25</w:t>
      </w:r>
      <w:r w:rsidR="00EE7920">
        <w:rPr>
          <w:rFonts w:ascii="Gill Sans MT" w:hAnsi="Gill Sans MT"/>
          <w:sz w:val="24"/>
          <w:szCs w:val="24"/>
        </w:rPr>
        <w:t xml:space="preserve"> on </w:t>
      </w:r>
      <w:r w:rsidR="00EE7920">
        <w:rPr>
          <w:rFonts w:ascii="Gill Sans MT" w:hAnsi="Gill Sans MT"/>
          <w:i/>
          <w:sz w:val="24"/>
          <w:szCs w:val="24"/>
        </w:rPr>
        <w:t>‘Understanding the economics’)</w:t>
      </w:r>
      <w:r>
        <w:rPr>
          <w:rFonts w:ascii="Gill Sans MT" w:hAnsi="Gill Sans MT"/>
          <w:sz w:val="24"/>
          <w:szCs w:val="24"/>
        </w:rPr>
        <w:t xml:space="preserve"> at times approach ‘special pleading’. For instance,</w:t>
      </w:r>
      <w:r w:rsidR="00EE7920">
        <w:rPr>
          <w:rFonts w:ascii="Gill Sans MT" w:hAnsi="Gill Sans MT"/>
          <w:sz w:val="24"/>
          <w:szCs w:val="24"/>
        </w:rPr>
        <w:t xml:space="preserve"> the last sentence of paragraph 22 reads</w:t>
      </w:r>
      <w:r>
        <w:rPr>
          <w:rFonts w:ascii="Gill Sans MT" w:hAnsi="Gill Sans MT"/>
          <w:sz w:val="24"/>
          <w:szCs w:val="24"/>
        </w:rPr>
        <w:t xml:space="preserve"> </w:t>
      </w:r>
      <w:r w:rsidRPr="00EE7920">
        <w:rPr>
          <w:rFonts w:ascii="Gill Sans MT" w:hAnsi="Gill Sans MT"/>
          <w:i/>
          <w:sz w:val="24"/>
          <w:szCs w:val="24"/>
        </w:rPr>
        <w:t>‘</w:t>
      </w:r>
      <w:r w:rsidR="00EE7920" w:rsidRPr="00EE7920">
        <w:rPr>
          <w:rFonts w:ascii="Gill Sans MT" w:hAnsi="Gill Sans MT"/>
          <w:i/>
          <w:sz w:val="24"/>
          <w:szCs w:val="24"/>
        </w:rPr>
        <w:t>It is therefore important to ensure that, because the cost is high and the risk is high at this stage, no more work takes place than is sufficient, proportionate to the assets’ importance, to inform the planning decision.’</w:t>
      </w:r>
      <w:r w:rsidR="00EE7920">
        <w:rPr>
          <w:rFonts w:ascii="Gill Sans MT" w:hAnsi="Gill Sans MT"/>
          <w:sz w:val="24"/>
          <w:szCs w:val="24"/>
        </w:rPr>
        <w:t xml:space="preserve"> However, planning policy dictates such a proportionate approach regardless of the cost or risk.</w:t>
      </w:r>
    </w:p>
    <w:p w:rsidR="00EE7920" w:rsidRDefault="00EE7920" w:rsidP="00EE7920">
      <w:pPr>
        <w:spacing w:after="0"/>
        <w:ind w:left="360"/>
        <w:jc w:val="both"/>
        <w:rPr>
          <w:rFonts w:ascii="Gill Sans MT" w:hAnsi="Gill Sans MT"/>
          <w:sz w:val="24"/>
          <w:szCs w:val="24"/>
        </w:rPr>
      </w:pPr>
    </w:p>
    <w:p w:rsidR="00EE7920" w:rsidRPr="00EE7920" w:rsidRDefault="00EE7920" w:rsidP="00EE7920">
      <w:pPr>
        <w:spacing w:after="0"/>
        <w:ind w:left="360"/>
        <w:jc w:val="both"/>
        <w:rPr>
          <w:rFonts w:ascii="Gill Sans MT" w:hAnsi="Gill Sans MT"/>
          <w:sz w:val="24"/>
          <w:szCs w:val="24"/>
        </w:rPr>
      </w:pPr>
      <w:r>
        <w:rPr>
          <w:rFonts w:ascii="Gill Sans MT" w:hAnsi="Gill Sans MT"/>
          <w:sz w:val="24"/>
          <w:szCs w:val="24"/>
        </w:rPr>
        <w:t>Moreover, the reference in text box 2 (‘</w:t>
      </w:r>
      <w:r w:rsidRPr="00EE7920">
        <w:rPr>
          <w:rFonts w:ascii="Gill Sans MT" w:hAnsi="Gill Sans MT"/>
          <w:i/>
          <w:sz w:val="24"/>
          <w:szCs w:val="24"/>
        </w:rPr>
        <w:t>Common approaches for all mineral planning authorities’</w:t>
      </w:r>
      <w:r>
        <w:rPr>
          <w:rFonts w:ascii="Gill Sans MT" w:hAnsi="Gill Sans MT"/>
          <w:sz w:val="24"/>
          <w:szCs w:val="24"/>
        </w:rPr>
        <w:t>)</w:t>
      </w:r>
      <w:r w:rsidRPr="00EE7920">
        <w:rPr>
          <w:rFonts w:ascii="Gill Sans MT" w:hAnsi="Gill Sans MT"/>
          <w:sz w:val="24"/>
          <w:szCs w:val="24"/>
        </w:rPr>
        <w:t xml:space="preserve"> </w:t>
      </w:r>
      <w:r>
        <w:rPr>
          <w:rFonts w:ascii="Gill Sans MT" w:hAnsi="Gill Sans MT"/>
          <w:sz w:val="24"/>
          <w:szCs w:val="24"/>
        </w:rPr>
        <w:t xml:space="preserve">to the need for </w:t>
      </w:r>
      <w:r>
        <w:rPr>
          <w:rFonts w:ascii="Gill Sans MT" w:hAnsi="Gill Sans MT"/>
          <w:i/>
          <w:sz w:val="24"/>
          <w:szCs w:val="24"/>
        </w:rPr>
        <w:t>‘open-minded discussion’</w:t>
      </w:r>
      <w:r w:rsidR="00CD1849">
        <w:rPr>
          <w:rFonts w:ascii="Gill Sans MT" w:hAnsi="Gill Sans MT"/>
          <w:sz w:val="24"/>
          <w:szCs w:val="24"/>
        </w:rPr>
        <w:t xml:space="preserve"> perhaps reflects a partisan perception.</w:t>
      </w:r>
    </w:p>
    <w:p w:rsidR="008B6FF4" w:rsidRPr="00B050F1" w:rsidRDefault="008B6FF4" w:rsidP="00B050F1">
      <w:pPr>
        <w:spacing w:after="0"/>
        <w:rPr>
          <w:rFonts w:ascii="Gill Sans MT" w:hAnsi="Gill Sans MT"/>
          <w:sz w:val="24"/>
          <w:szCs w:val="24"/>
        </w:rPr>
      </w:pPr>
    </w:p>
    <w:p w:rsidR="008B6FF4" w:rsidRPr="00CD1849" w:rsidRDefault="008B6FF4" w:rsidP="00CD1849">
      <w:pPr>
        <w:pStyle w:val="ListParagraph"/>
        <w:numPr>
          <w:ilvl w:val="0"/>
          <w:numId w:val="7"/>
        </w:numPr>
        <w:spacing w:after="0"/>
        <w:rPr>
          <w:rFonts w:ascii="Gill Sans MT" w:hAnsi="Gill Sans MT"/>
          <w:b/>
          <w:sz w:val="24"/>
          <w:szCs w:val="24"/>
        </w:rPr>
      </w:pPr>
      <w:r w:rsidRPr="00CD1849">
        <w:rPr>
          <w:rFonts w:ascii="Gill Sans MT" w:hAnsi="Gill Sans MT"/>
          <w:b/>
          <w:sz w:val="24"/>
          <w:szCs w:val="24"/>
        </w:rPr>
        <w:t>From Pre-Application to Determination (pages 15-24)</w:t>
      </w:r>
    </w:p>
    <w:p w:rsidR="00CD1849" w:rsidRDefault="00CD1849" w:rsidP="00CD1849">
      <w:pPr>
        <w:spacing w:after="0"/>
        <w:ind w:left="360"/>
        <w:rPr>
          <w:rFonts w:ascii="Gill Sans MT" w:hAnsi="Gill Sans MT"/>
          <w:b/>
          <w:sz w:val="24"/>
          <w:szCs w:val="24"/>
        </w:rPr>
      </w:pPr>
    </w:p>
    <w:p w:rsidR="00CD1849" w:rsidRDefault="00EC5B24" w:rsidP="00EC5B24">
      <w:pPr>
        <w:spacing w:after="0"/>
        <w:ind w:left="360"/>
        <w:jc w:val="both"/>
        <w:rPr>
          <w:rFonts w:ascii="Gill Sans MT" w:hAnsi="Gill Sans MT"/>
          <w:sz w:val="24"/>
          <w:szCs w:val="24"/>
        </w:rPr>
      </w:pPr>
      <w:r>
        <w:rPr>
          <w:rFonts w:ascii="Gill Sans MT" w:hAnsi="Gill Sans MT"/>
          <w:sz w:val="24"/>
          <w:szCs w:val="24"/>
        </w:rPr>
        <w:t xml:space="preserve">Once again, the text of the draft, in places, appears </w:t>
      </w:r>
      <w:r w:rsidR="00D263B6">
        <w:rPr>
          <w:rFonts w:ascii="Gill Sans MT" w:hAnsi="Gill Sans MT"/>
          <w:sz w:val="24"/>
          <w:szCs w:val="24"/>
        </w:rPr>
        <w:t xml:space="preserve">over-eager </w:t>
      </w:r>
      <w:r>
        <w:rPr>
          <w:rFonts w:ascii="Gill Sans MT" w:hAnsi="Gill Sans MT"/>
          <w:sz w:val="24"/>
          <w:szCs w:val="24"/>
        </w:rPr>
        <w:t xml:space="preserve">to </w:t>
      </w:r>
      <w:r w:rsidR="00D263B6">
        <w:rPr>
          <w:rFonts w:ascii="Gill Sans MT" w:hAnsi="Gill Sans MT"/>
          <w:sz w:val="24"/>
          <w:szCs w:val="24"/>
        </w:rPr>
        <w:t>promote</w:t>
      </w:r>
      <w:r>
        <w:rPr>
          <w:rFonts w:ascii="Gill Sans MT" w:hAnsi="Gill Sans MT"/>
          <w:sz w:val="24"/>
          <w:szCs w:val="24"/>
        </w:rPr>
        <w:t xml:space="preserve"> the case for development. For example, </w:t>
      </w:r>
      <w:r w:rsidR="00037057">
        <w:rPr>
          <w:rFonts w:ascii="Gill Sans MT" w:hAnsi="Gill Sans MT"/>
          <w:sz w:val="24"/>
          <w:szCs w:val="24"/>
        </w:rPr>
        <w:t xml:space="preserve">the draft guidance in </w:t>
      </w:r>
      <w:r>
        <w:rPr>
          <w:rFonts w:ascii="Gill Sans MT" w:hAnsi="Gill Sans MT"/>
          <w:sz w:val="24"/>
          <w:szCs w:val="24"/>
        </w:rPr>
        <w:t xml:space="preserve">paragraph 53 </w:t>
      </w:r>
      <w:r w:rsidR="00037057">
        <w:rPr>
          <w:rFonts w:ascii="Gill Sans MT" w:hAnsi="Gill Sans MT"/>
          <w:sz w:val="24"/>
          <w:szCs w:val="24"/>
        </w:rPr>
        <w:t>(</w:t>
      </w:r>
      <w:r>
        <w:rPr>
          <w:rFonts w:ascii="Gill Sans MT" w:hAnsi="Gill Sans MT"/>
          <w:i/>
          <w:sz w:val="24"/>
          <w:szCs w:val="24"/>
        </w:rPr>
        <w:t>‘</w:t>
      </w:r>
      <w:r w:rsidRPr="00EC5B24">
        <w:rPr>
          <w:rFonts w:ascii="Gill Sans MT" w:hAnsi="Gill Sans MT"/>
          <w:i/>
          <w:sz w:val="24"/>
          <w:szCs w:val="24"/>
        </w:rPr>
        <w:t xml:space="preserve">Where proposals are not in accord with the Development Plan pre-application consultation must first focus on the material considerations which might nonetheless </w:t>
      </w:r>
      <w:r>
        <w:rPr>
          <w:rFonts w:ascii="Gill Sans MT" w:hAnsi="Gill Sans MT"/>
          <w:i/>
          <w:sz w:val="24"/>
          <w:szCs w:val="24"/>
        </w:rPr>
        <w:t>justify the grant of permission</w:t>
      </w:r>
      <w:r w:rsidR="00037057">
        <w:rPr>
          <w:rFonts w:ascii="Gill Sans MT" w:hAnsi="Gill Sans MT"/>
          <w:i/>
          <w:sz w:val="24"/>
          <w:szCs w:val="24"/>
        </w:rPr>
        <w:t>.</w:t>
      </w:r>
      <w:r>
        <w:rPr>
          <w:rFonts w:ascii="Gill Sans MT" w:hAnsi="Gill Sans MT"/>
          <w:i/>
          <w:sz w:val="24"/>
          <w:szCs w:val="24"/>
        </w:rPr>
        <w:t>’</w:t>
      </w:r>
      <w:r w:rsidR="00037057">
        <w:rPr>
          <w:rFonts w:ascii="Gill Sans MT" w:hAnsi="Gill Sans MT"/>
          <w:sz w:val="24"/>
          <w:szCs w:val="24"/>
        </w:rPr>
        <w:t>) at first glance inverts the plan-led system which requires that the primary focus should be the plan and the reasons why the proposals are not in accord with it.</w:t>
      </w:r>
    </w:p>
    <w:p w:rsidR="00BF082C" w:rsidRDefault="00BF082C" w:rsidP="00EC5B24">
      <w:pPr>
        <w:spacing w:after="0"/>
        <w:ind w:left="360"/>
        <w:jc w:val="both"/>
        <w:rPr>
          <w:rFonts w:ascii="Gill Sans MT" w:hAnsi="Gill Sans MT"/>
          <w:sz w:val="24"/>
          <w:szCs w:val="24"/>
        </w:rPr>
      </w:pPr>
    </w:p>
    <w:p w:rsidR="00BF082C" w:rsidRPr="00D263B6" w:rsidRDefault="00BF082C" w:rsidP="00EC5B24">
      <w:pPr>
        <w:spacing w:after="0"/>
        <w:ind w:left="360"/>
        <w:jc w:val="both"/>
        <w:rPr>
          <w:rFonts w:ascii="Gill Sans MT" w:hAnsi="Gill Sans MT"/>
          <w:i/>
          <w:sz w:val="24"/>
          <w:szCs w:val="24"/>
        </w:rPr>
      </w:pPr>
      <w:r>
        <w:rPr>
          <w:rFonts w:ascii="Gill Sans MT" w:hAnsi="Gill Sans MT"/>
          <w:sz w:val="24"/>
          <w:szCs w:val="24"/>
        </w:rPr>
        <w:t>The issue of evaluation trenching is dealt with separately under paragraph 9.</w:t>
      </w:r>
    </w:p>
    <w:p w:rsidR="00B050F1" w:rsidRDefault="00B050F1" w:rsidP="00B050F1">
      <w:pPr>
        <w:spacing w:after="0"/>
        <w:rPr>
          <w:rFonts w:ascii="Gill Sans MT" w:hAnsi="Gill Sans MT"/>
          <w:sz w:val="24"/>
          <w:szCs w:val="24"/>
        </w:rPr>
      </w:pPr>
    </w:p>
    <w:p w:rsidR="008B6FF4" w:rsidRPr="00037057" w:rsidRDefault="008B6FF4" w:rsidP="00037057">
      <w:pPr>
        <w:pStyle w:val="ListParagraph"/>
        <w:numPr>
          <w:ilvl w:val="0"/>
          <w:numId w:val="7"/>
        </w:numPr>
        <w:spacing w:after="0"/>
        <w:rPr>
          <w:rFonts w:ascii="Gill Sans MT" w:hAnsi="Gill Sans MT"/>
          <w:b/>
          <w:sz w:val="24"/>
          <w:szCs w:val="24"/>
        </w:rPr>
      </w:pPr>
      <w:r w:rsidRPr="00037057">
        <w:rPr>
          <w:rFonts w:ascii="Gill Sans MT" w:hAnsi="Gill Sans MT"/>
          <w:b/>
          <w:sz w:val="24"/>
          <w:szCs w:val="24"/>
        </w:rPr>
        <w:t>Post-determination (pages 25- 28)</w:t>
      </w:r>
    </w:p>
    <w:p w:rsidR="00037057" w:rsidRDefault="00037057" w:rsidP="00037057">
      <w:pPr>
        <w:spacing w:after="0"/>
        <w:ind w:left="360"/>
        <w:rPr>
          <w:rFonts w:ascii="Gill Sans MT" w:hAnsi="Gill Sans MT"/>
          <w:b/>
          <w:sz w:val="24"/>
          <w:szCs w:val="24"/>
        </w:rPr>
      </w:pPr>
    </w:p>
    <w:p w:rsidR="00037057" w:rsidRPr="00037057" w:rsidRDefault="00037057" w:rsidP="00BF082C">
      <w:pPr>
        <w:spacing w:after="0"/>
        <w:ind w:left="360"/>
        <w:jc w:val="both"/>
        <w:rPr>
          <w:rFonts w:ascii="Gill Sans MT" w:hAnsi="Gill Sans MT"/>
          <w:sz w:val="24"/>
          <w:szCs w:val="24"/>
        </w:rPr>
      </w:pPr>
      <w:r>
        <w:rPr>
          <w:rFonts w:ascii="Gill Sans MT" w:hAnsi="Gill Sans MT"/>
          <w:sz w:val="24"/>
          <w:szCs w:val="24"/>
        </w:rPr>
        <w:t>The major concern with this section is to ensure that the post-determination mechanism of the watching brief</w:t>
      </w:r>
      <w:r w:rsidR="00337E78">
        <w:rPr>
          <w:rFonts w:ascii="Gill Sans MT" w:hAnsi="Gill Sans MT"/>
          <w:sz w:val="24"/>
          <w:szCs w:val="24"/>
        </w:rPr>
        <w:t xml:space="preserve"> (although a widely</w:t>
      </w:r>
      <w:r w:rsidR="00840B21">
        <w:rPr>
          <w:rFonts w:ascii="Gill Sans MT" w:hAnsi="Gill Sans MT"/>
          <w:sz w:val="24"/>
          <w:szCs w:val="24"/>
        </w:rPr>
        <w:t>-</w:t>
      </w:r>
      <w:r w:rsidR="00337E78">
        <w:rPr>
          <w:rFonts w:ascii="Gill Sans MT" w:hAnsi="Gill Sans MT"/>
          <w:sz w:val="24"/>
          <w:szCs w:val="24"/>
        </w:rPr>
        <w:t>used and valuable mechanism in minerals schemes)</w:t>
      </w:r>
      <w:r>
        <w:rPr>
          <w:rFonts w:ascii="Gill Sans MT" w:hAnsi="Gill Sans MT"/>
          <w:sz w:val="24"/>
          <w:szCs w:val="24"/>
        </w:rPr>
        <w:t xml:space="preserve"> is not seen to be promoted </w:t>
      </w:r>
      <w:proofErr w:type="gramStart"/>
      <w:r>
        <w:rPr>
          <w:rFonts w:ascii="Gill Sans MT" w:hAnsi="Gill Sans MT"/>
          <w:sz w:val="24"/>
          <w:szCs w:val="24"/>
        </w:rPr>
        <w:t>as a means to</w:t>
      </w:r>
      <w:proofErr w:type="gramEnd"/>
      <w:r>
        <w:rPr>
          <w:rFonts w:ascii="Gill Sans MT" w:hAnsi="Gill Sans MT"/>
          <w:sz w:val="24"/>
          <w:szCs w:val="24"/>
        </w:rPr>
        <w:t xml:space="preserve"> avoid the need for </w:t>
      </w:r>
      <w:r w:rsidR="00BF082C">
        <w:rPr>
          <w:rFonts w:ascii="Gill Sans MT" w:hAnsi="Gill Sans MT"/>
          <w:sz w:val="24"/>
          <w:szCs w:val="24"/>
        </w:rPr>
        <w:t>pre-determination assessment and evaluation, notwithstanding the challenges presented in a minerals context.</w:t>
      </w:r>
      <w:r>
        <w:rPr>
          <w:rFonts w:ascii="Gill Sans MT" w:hAnsi="Gill Sans MT"/>
          <w:sz w:val="24"/>
          <w:szCs w:val="24"/>
        </w:rPr>
        <w:t xml:space="preserve"> </w:t>
      </w:r>
    </w:p>
    <w:p w:rsidR="00B050F1" w:rsidRDefault="00B050F1" w:rsidP="00B050F1">
      <w:pPr>
        <w:spacing w:after="0"/>
        <w:rPr>
          <w:rFonts w:ascii="Gill Sans MT" w:hAnsi="Gill Sans MT"/>
          <w:sz w:val="24"/>
          <w:szCs w:val="24"/>
        </w:rPr>
      </w:pPr>
    </w:p>
    <w:p w:rsidR="00BF082C" w:rsidRPr="00BF082C" w:rsidRDefault="008B6FF4" w:rsidP="00BF082C">
      <w:pPr>
        <w:pStyle w:val="ListParagraph"/>
        <w:numPr>
          <w:ilvl w:val="0"/>
          <w:numId w:val="7"/>
        </w:numPr>
        <w:spacing w:after="0"/>
        <w:rPr>
          <w:rFonts w:ascii="Gill Sans MT" w:hAnsi="Gill Sans MT"/>
          <w:b/>
          <w:sz w:val="24"/>
          <w:szCs w:val="24"/>
        </w:rPr>
      </w:pPr>
      <w:r w:rsidRPr="00BF082C">
        <w:rPr>
          <w:rFonts w:ascii="Gill Sans MT" w:hAnsi="Gill Sans MT"/>
          <w:b/>
          <w:sz w:val="24"/>
          <w:szCs w:val="24"/>
        </w:rPr>
        <w:t>Sustainability (pages 29-31)</w:t>
      </w:r>
    </w:p>
    <w:p w:rsidR="00BF082C" w:rsidRDefault="00BF082C" w:rsidP="00BF082C">
      <w:pPr>
        <w:spacing w:after="0"/>
        <w:ind w:left="360"/>
        <w:rPr>
          <w:rFonts w:ascii="Gill Sans MT" w:hAnsi="Gill Sans MT"/>
          <w:sz w:val="24"/>
          <w:szCs w:val="24"/>
        </w:rPr>
      </w:pPr>
    </w:p>
    <w:p w:rsidR="00BF082C" w:rsidRDefault="00AE5FCD" w:rsidP="00AE5FCD">
      <w:pPr>
        <w:spacing w:after="0"/>
        <w:ind w:left="360"/>
        <w:jc w:val="both"/>
        <w:rPr>
          <w:rFonts w:ascii="Gill Sans MT" w:hAnsi="Gill Sans MT"/>
          <w:sz w:val="24"/>
          <w:szCs w:val="24"/>
        </w:rPr>
      </w:pPr>
      <w:r>
        <w:rPr>
          <w:rFonts w:ascii="Gill Sans MT" w:hAnsi="Gill Sans MT"/>
          <w:sz w:val="24"/>
          <w:szCs w:val="24"/>
        </w:rPr>
        <w:t>We welcome the increased emphasis on sustainability and public benefit in the draft guide. The emphasis on community involvement and engagement is a significant feature of the guide and one which we strongly support.</w:t>
      </w:r>
    </w:p>
    <w:p w:rsidR="00AE5FCD" w:rsidRDefault="00AE5FCD" w:rsidP="00AE5FCD">
      <w:pPr>
        <w:spacing w:after="0"/>
        <w:ind w:left="360"/>
        <w:jc w:val="both"/>
        <w:rPr>
          <w:rFonts w:ascii="Gill Sans MT" w:hAnsi="Gill Sans MT"/>
          <w:sz w:val="24"/>
          <w:szCs w:val="24"/>
        </w:rPr>
      </w:pPr>
    </w:p>
    <w:p w:rsidR="00AE5FCD" w:rsidRDefault="00AE5FCD" w:rsidP="00AE5FCD">
      <w:pPr>
        <w:spacing w:after="0"/>
        <w:ind w:left="360"/>
        <w:jc w:val="both"/>
        <w:rPr>
          <w:rFonts w:ascii="Gill Sans MT" w:hAnsi="Gill Sans MT"/>
          <w:sz w:val="24"/>
          <w:szCs w:val="24"/>
        </w:rPr>
      </w:pPr>
      <w:r>
        <w:rPr>
          <w:rFonts w:ascii="Gill Sans MT" w:hAnsi="Gill Sans MT"/>
          <w:sz w:val="24"/>
          <w:szCs w:val="24"/>
        </w:rPr>
        <w:t>Although Historic Environment Records (HERs) are mentioned in footnote 14 to the draft guide</w:t>
      </w:r>
      <w:r w:rsidR="00950674">
        <w:rPr>
          <w:rFonts w:ascii="Gill Sans MT" w:hAnsi="Gill Sans MT"/>
          <w:sz w:val="24"/>
          <w:szCs w:val="24"/>
        </w:rPr>
        <w:t>, we would like to see greater recognition in the guide of the important role which HERs play.</w:t>
      </w:r>
    </w:p>
    <w:p w:rsidR="00B050F1" w:rsidRPr="00BF082C" w:rsidRDefault="00B050F1" w:rsidP="00BF082C">
      <w:pPr>
        <w:spacing w:after="0"/>
        <w:ind w:left="360"/>
        <w:rPr>
          <w:rFonts w:ascii="Gill Sans MT" w:hAnsi="Gill Sans MT"/>
          <w:sz w:val="24"/>
          <w:szCs w:val="24"/>
        </w:rPr>
      </w:pPr>
      <w:r w:rsidRPr="00BF082C">
        <w:rPr>
          <w:rFonts w:ascii="Gill Sans MT" w:hAnsi="Gill Sans MT"/>
          <w:sz w:val="24"/>
          <w:szCs w:val="24"/>
        </w:rPr>
        <w:br w:type="page"/>
      </w:r>
    </w:p>
    <w:p w:rsidR="008B6FF4" w:rsidRPr="00B050F1" w:rsidRDefault="008B6FF4" w:rsidP="00B050F1">
      <w:pPr>
        <w:spacing w:after="0"/>
        <w:rPr>
          <w:rFonts w:ascii="Gill Sans MT" w:hAnsi="Gill Sans MT"/>
          <w:b/>
          <w:sz w:val="24"/>
          <w:szCs w:val="24"/>
        </w:rPr>
      </w:pPr>
      <w:r w:rsidRPr="00B050F1">
        <w:rPr>
          <w:rFonts w:ascii="Gill Sans MT" w:hAnsi="Gill Sans MT"/>
          <w:b/>
          <w:sz w:val="24"/>
          <w:szCs w:val="24"/>
        </w:rPr>
        <w:lastRenderedPageBreak/>
        <w:t>8. Would you like to review the appendix document on archaeological techniques?</w:t>
      </w:r>
    </w:p>
    <w:p w:rsidR="008B6FF4" w:rsidRPr="00B050F1" w:rsidRDefault="008B6FF4" w:rsidP="00B050F1">
      <w:pPr>
        <w:spacing w:after="0"/>
        <w:rPr>
          <w:rFonts w:ascii="Gill Sans MT" w:hAnsi="Gill Sans MT"/>
          <w:sz w:val="24"/>
          <w:szCs w:val="24"/>
        </w:rPr>
      </w:pPr>
    </w:p>
    <w:p w:rsidR="008B6FF4" w:rsidRPr="00B050F1" w:rsidRDefault="008B6FF4" w:rsidP="00B050F1">
      <w:pPr>
        <w:spacing w:after="0"/>
        <w:rPr>
          <w:rFonts w:ascii="Gill Sans MT" w:hAnsi="Gill Sans MT"/>
          <w:sz w:val="24"/>
          <w:szCs w:val="24"/>
        </w:rPr>
      </w:pPr>
      <w:r w:rsidRPr="00B050F1">
        <w:rPr>
          <w:rFonts w:ascii="Gill Sans MT" w:hAnsi="Gill Sans MT"/>
          <w:sz w:val="24"/>
          <w:szCs w:val="24"/>
        </w:rPr>
        <w:t>To avoid ‘overload’ of material, this appendix would be shared separately once consultation on the main body of the text has been completed.</w:t>
      </w:r>
    </w:p>
    <w:p w:rsidR="008B6FF4" w:rsidRPr="00B050F1" w:rsidRDefault="008B6FF4" w:rsidP="00B050F1">
      <w:pPr>
        <w:spacing w:after="0"/>
        <w:rPr>
          <w:rFonts w:ascii="Gill Sans MT" w:hAnsi="Gill Sans MT"/>
          <w:sz w:val="24"/>
          <w:szCs w:val="24"/>
        </w:rPr>
      </w:pPr>
    </w:p>
    <w:p w:rsidR="00B050F1" w:rsidRPr="00FE6DB9" w:rsidRDefault="00FE6DB9" w:rsidP="00FE6DB9">
      <w:pPr>
        <w:spacing w:after="0"/>
        <w:ind w:left="360"/>
        <w:rPr>
          <w:rFonts w:ascii="Gill Sans MT" w:hAnsi="Gill Sans MT"/>
          <w:sz w:val="24"/>
          <w:szCs w:val="24"/>
        </w:rPr>
      </w:pPr>
      <w:r>
        <w:rPr>
          <w:rFonts w:ascii="Courier New" w:hAnsi="Courier New" w:cs="Courier New"/>
          <w:sz w:val="24"/>
          <w:szCs w:val="24"/>
          <w:highlight w:val="lightGray"/>
        </w:rPr>
        <w:t>√</w:t>
      </w:r>
      <w:r w:rsidR="008B6FF4" w:rsidRPr="00FE6DB9">
        <w:rPr>
          <w:rFonts w:ascii="Gill Sans MT" w:hAnsi="Gill Sans MT"/>
          <w:sz w:val="24"/>
          <w:szCs w:val="24"/>
        </w:rPr>
        <w:t>Yes</w:t>
      </w:r>
    </w:p>
    <w:p w:rsidR="008B6FF4" w:rsidRPr="00B050F1" w:rsidRDefault="008B6FF4" w:rsidP="00FE6DB9">
      <w:pPr>
        <w:pStyle w:val="ListParagraph"/>
        <w:spacing w:after="0"/>
        <w:rPr>
          <w:rFonts w:ascii="Gill Sans MT" w:hAnsi="Gill Sans MT"/>
          <w:sz w:val="24"/>
          <w:szCs w:val="24"/>
        </w:rPr>
      </w:pPr>
    </w:p>
    <w:p w:rsidR="00B050F1" w:rsidRDefault="00B050F1" w:rsidP="00B050F1">
      <w:pPr>
        <w:spacing w:after="0"/>
        <w:rPr>
          <w:rFonts w:ascii="Gill Sans MT" w:hAnsi="Gill Sans MT"/>
          <w:sz w:val="24"/>
          <w:szCs w:val="24"/>
        </w:rPr>
      </w:pPr>
    </w:p>
    <w:p w:rsidR="008B6FF4" w:rsidRPr="00B050F1" w:rsidRDefault="008B6FF4" w:rsidP="00B050F1">
      <w:pPr>
        <w:spacing w:after="0"/>
        <w:rPr>
          <w:rFonts w:ascii="Gill Sans MT" w:hAnsi="Gill Sans MT"/>
          <w:sz w:val="24"/>
          <w:szCs w:val="24"/>
        </w:rPr>
      </w:pPr>
      <w:r w:rsidRPr="00B050F1">
        <w:rPr>
          <w:rFonts w:ascii="Gill Sans MT" w:hAnsi="Gill Sans MT"/>
          <w:sz w:val="24"/>
          <w:szCs w:val="24"/>
        </w:rPr>
        <w:t>Any comments…</w:t>
      </w:r>
    </w:p>
    <w:p w:rsidR="008B6FF4" w:rsidRPr="00B050F1" w:rsidRDefault="008B6FF4" w:rsidP="00B050F1">
      <w:pPr>
        <w:spacing w:after="0"/>
        <w:rPr>
          <w:rFonts w:ascii="Gill Sans MT" w:hAnsi="Gill Sans MT"/>
          <w:sz w:val="24"/>
          <w:szCs w:val="24"/>
        </w:rPr>
      </w:pPr>
    </w:p>
    <w:p w:rsidR="00B050F1" w:rsidRDefault="00B050F1" w:rsidP="00B050F1">
      <w:pPr>
        <w:spacing w:after="0"/>
        <w:rPr>
          <w:rFonts w:ascii="Gill Sans MT" w:hAnsi="Gill Sans MT"/>
          <w:sz w:val="24"/>
          <w:szCs w:val="24"/>
        </w:rPr>
      </w:pPr>
    </w:p>
    <w:p w:rsidR="008B6FF4" w:rsidRPr="00B050F1" w:rsidRDefault="008B6FF4" w:rsidP="00B050F1">
      <w:pPr>
        <w:spacing w:after="0"/>
        <w:rPr>
          <w:rFonts w:ascii="Gill Sans MT" w:hAnsi="Gill Sans MT"/>
          <w:b/>
          <w:sz w:val="24"/>
          <w:szCs w:val="24"/>
        </w:rPr>
      </w:pPr>
      <w:r w:rsidRPr="00B050F1">
        <w:rPr>
          <w:rFonts w:ascii="Gill Sans MT" w:hAnsi="Gill Sans MT"/>
          <w:b/>
          <w:sz w:val="24"/>
          <w:szCs w:val="24"/>
        </w:rPr>
        <w:t>PART 2: EVALUATION TRENCHING</w:t>
      </w:r>
    </w:p>
    <w:p w:rsidR="00B050F1" w:rsidRDefault="00B050F1" w:rsidP="00B050F1">
      <w:pPr>
        <w:spacing w:after="0"/>
        <w:rPr>
          <w:rFonts w:ascii="Gill Sans MT" w:hAnsi="Gill Sans MT"/>
          <w:sz w:val="24"/>
          <w:szCs w:val="24"/>
        </w:rPr>
      </w:pPr>
    </w:p>
    <w:p w:rsidR="00F6313B" w:rsidRDefault="008B6FF4" w:rsidP="00B050F1">
      <w:pPr>
        <w:spacing w:after="0"/>
        <w:rPr>
          <w:rFonts w:ascii="Gill Sans MT" w:hAnsi="Gill Sans MT"/>
          <w:sz w:val="24"/>
          <w:szCs w:val="24"/>
        </w:rPr>
      </w:pPr>
      <w:r w:rsidRPr="00F6313B">
        <w:rPr>
          <w:rFonts w:ascii="Gill Sans MT" w:hAnsi="Gill Sans MT"/>
          <w:b/>
          <w:sz w:val="24"/>
          <w:szCs w:val="24"/>
        </w:rPr>
        <w:t xml:space="preserve">9. As noted in the separate commentary paper, MHEF </w:t>
      </w:r>
      <w:r w:rsidR="00912036" w:rsidRPr="00F6313B">
        <w:rPr>
          <w:rFonts w:ascii="Gill Sans MT" w:hAnsi="Gill Sans MT"/>
          <w:b/>
          <w:sz w:val="24"/>
          <w:szCs w:val="24"/>
        </w:rPr>
        <w:t xml:space="preserve">is still in the process of reaching </w:t>
      </w:r>
      <w:r w:rsidRPr="00F6313B">
        <w:rPr>
          <w:rFonts w:ascii="Gill Sans MT" w:hAnsi="Gill Sans MT"/>
          <w:b/>
          <w:sz w:val="24"/>
          <w:szCs w:val="24"/>
        </w:rPr>
        <w:t xml:space="preserve">consensus on evaluation trenching. We’d like your views on paragraph 68 </w:t>
      </w:r>
      <w:r w:rsidR="00912036" w:rsidRPr="00F6313B">
        <w:rPr>
          <w:rFonts w:ascii="Gill Sans MT" w:hAnsi="Gill Sans MT"/>
          <w:b/>
          <w:sz w:val="24"/>
          <w:szCs w:val="24"/>
        </w:rPr>
        <w:t>and whether it gives clear guidance aligned with the requirements of the NPPF</w:t>
      </w:r>
      <w:r w:rsidRPr="00F6313B">
        <w:rPr>
          <w:rFonts w:ascii="Gill Sans MT" w:hAnsi="Gill Sans MT"/>
          <w:b/>
          <w:sz w:val="24"/>
          <w:szCs w:val="24"/>
        </w:rPr>
        <w:t>.</w:t>
      </w:r>
      <w:r w:rsidRPr="00B050F1">
        <w:rPr>
          <w:rFonts w:ascii="Gill Sans MT" w:hAnsi="Gill Sans MT"/>
          <w:sz w:val="24"/>
          <w:szCs w:val="24"/>
        </w:rPr>
        <w:t xml:space="preserve"> </w:t>
      </w:r>
    </w:p>
    <w:p w:rsidR="008B6FF4" w:rsidRPr="00B050F1" w:rsidRDefault="008B6FF4" w:rsidP="00B050F1">
      <w:pPr>
        <w:spacing w:after="0"/>
        <w:rPr>
          <w:rFonts w:ascii="Gill Sans MT" w:hAnsi="Gill Sans MT"/>
          <w:sz w:val="24"/>
          <w:szCs w:val="24"/>
        </w:rPr>
      </w:pPr>
      <w:r w:rsidRPr="00B050F1">
        <w:rPr>
          <w:rFonts w:ascii="Gill Sans MT" w:hAnsi="Gill Sans MT"/>
          <w:sz w:val="24"/>
          <w:szCs w:val="24"/>
        </w:rPr>
        <w:t xml:space="preserve">For convenience this is reproduced below, but it should be read in context as set out in the practice guide, especially with reference to Box 7. </w:t>
      </w:r>
      <w:r w:rsidR="00912036" w:rsidRPr="00B050F1">
        <w:rPr>
          <w:rFonts w:ascii="Gill Sans MT" w:hAnsi="Gill Sans MT"/>
          <w:sz w:val="24"/>
          <w:szCs w:val="24"/>
        </w:rPr>
        <w:t>Please explain your rationale, and if you do not support paragraph 68 as currently worded please suggest alternative wording</w:t>
      </w:r>
      <w:r w:rsidR="00912036">
        <w:rPr>
          <w:rFonts w:ascii="Gill Sans MT" w:hAnsi="Gill Sans MT"/>
          <w:sz w:val="24"/>
          <w:szCs w:val="24"/>
        </w:rPr>
        <w:t xml:space="preserve"> </w:t>
      </w:r>
      <w:r w:rsidR="00CE7C1F">
        <w:rPr>
          <w:rFonts w:ascii="Gill Sans MT" w:hAnsi="Gill Sans MT"/>
          <w:sz w:val="24"/>
          <w:szCs w:val="24"/>
        </w:rPr>
        <w:t xml:space="preserve">or </w:t>
      </w:r>
      <w:r w:rsidR="00912036">
        <w:rPr>
          <w:rFonts w:ascii="Gill Sans MT" w:hAnsi="Gill Sans MT"/>
          <w:sz w:val="24"/>
          <w:szCs w:val="24"/>
        </w:rPr>
        <w:t>if you do support the paragraph or its general thrust then please indicate.</w:t>
      </w:r>
    </w:p>
    <w:p w:rsidR="008B6FF4" w:rsidRPr="00B050F1" w:rsidRDefault="008B6FF4" w:rsidP="00B050F1">
      <w:pPr>
        <w:spacing w:after="0"/>
        <w:rPr>
          <w:rFonts w:ascii="Gill Sans MT" w:hAnsi="Gill Sans MT"/>
          <w:sz w:val="24"/>
          <w:szCs w:val="24"/>
        </w:rPr>
      </w:pPr>
    </w:p>
    <w:p w:rsidR="008B6FF4" w:rsidRPr="00B050F1" w:rsidRDefault="008B6FF4" w:rsidP="00B050F1">
      <w:pPr>
        <w:spacing w:after="0"/>
        <w:rPr>
          <w:rFonts w:ascii="Gill Sans MT" w:hAnsi="Gill Sans MT"/>
          <w:sz w:val="24"/>
          <w:szCs w:val="24"/>
        </w:rPr>
      </w:pPr>
      <w:r w:rsidRPr="00B050F1">
        <w:rPr>
          <w:rFonts w:ascii="Gill Sans MT" w:hAnsi="Gill Sans MT"/>
          <w:sz w:val="24"/>
          <w:szCs w:val="24"/>
        </w:rPr>
        <w:t>Paragraph 68</w:t>
      </w:r>
    </w:p>
    <w:p w:rsidR="008B6FF4" w:rsidRPr="00B050F1" w:rsidRDefault="008B6FF4" w:rsidP="00B050F1">
      <w:pPr>
        <w:spacing w:after="0"/>
        <w:rPr>
          <w:rFonts w:ascii="Gill Sans MT" w:hAnsi="Gill Sans MT"/>
          <w:i/>
          <w:sz w:val="24"/>
          <w:szCs w:val="24"/>
        </w:rPr>
      </w:pPr>
      <w:r w:rsidRPr="00B050F1">
        <w:rPr>
          <w:rFonts w:ascii="Gill Sans MT" w:hAnsi="Gill Sans MT"/>
          <w:i/>
          <w:sz w:val="24"/>
          <w:szCs w:val="24"/>
        </w:rPr>
        <w:t>Landforms and deposits within the proposed development area with higher archaeological sensitivity may require a higher level of targeted investigation than those areas with lower archaeological sensitivity. Following early consultation, a thorough and well-thought out desk-based assessment and prospection work (e.g. geophysical survey, fieldwalking, sub-surface topographic modelling, sediment coring etc.)</w:t>
      </w:r>
      <w:r w:rsidR="00912036">
        <w:rPr>
          <w:rFonts w:ascii="Gill Sans MT" w:hAnsi="Gill Sans MT"/>
          <w:i/>
          <w:sz w:val="24"/>
          <w:szCs w:val="24"/>
        </w:rPr>
        <w:t>,</w:t>
      </w:r>
      <w:r w:rsidRPr="00B050F1">
        <w:rPr>
          <w:rFonts w:ascii="Gill Sans MT" w:hAnsi="Gill Sans MT"/>
          <w:i/>
          <w:sz w:val="24"/>
          <w:szCs w:val="24"/>
        </w:rPr>
        <w:t xml:space="preserve"> targeted evaluation trenching will normally comprise no more than 0.5 – 2% of the proposed development area. Whilst all sampling levels require justification, higher sampling levels will require special justification. Box 7 provides more information on how to approach this important issue.</w:t>
      </w:r>
    </w:p>
    <w:p w:rsidR="008B6FF4" w:rsidRPr="00B050F1" w:rsidRDefault="008B6FF4" w:rsidP="00B050F1">
      <w:pPr>
        <w:spacing w:after="0"/>
        <w:rPr>
          <w:rFonts w:ascii="Gill Sans MT" w:hAnsi="Gill Sans MT"/>
          <w:sz w:val="24"/>
          <w:szCs w:val="24"/>
        </w:rPr>
      </w:pPr>
    </w:p>
    <w:p w:rsidR="009B53E4" w:rsidRDefault="00260E30" w:rsidP="002F57AA">
      <w:pPr>
        <w:spacing w:after="0"/>
        <w:jc w:val="both"/>
        <w:rPr>
          <w:rFonts w:ascii="Gill Sans MT" w:hAnsi="Gill Sans MT"/>
          <w:sz w:val="24"/>
          <w:szCs w:val="24"/>
        </w:rPr>
      </w:pPr>
      <w:r>
        <w:rPr>
          <w:rFonts w:ascii="Gill Sans MT" w:hAnsi="Gill Sans MT"/>
          <w:sz w:val="24"/>
          <w:szCs w:val="24"/>
        </w:rPr>
        <w:t xml:space="preserve">Once again, the views of internal consultees were varied. </w:t>
      </w:r>
      <w:r w:rsidR="00F405BF">
        <w:rPr>
          <w:rFonts w:ascii="Gill Sans MT" w:hAnsi="Gill Sans MT"/>
          <w:sz w:val="24"/>
          <w:szCs w:val="24"/>
        </w:rPr>
        <w:t>There was acknowledgement on all sides of the practical reality and challenges of dealing with minerals development and, with that in mind, several consultees felt that the balance in the draft text was ‘about right’.</w:t>
      </w:r>
      <w:r w:rsidR="009B53E4">
        <w:rPr>
          <w:rFonts w:ascii="Gill Sans MT" w:hAnsi="Gill Sans MT"/>
          <w:sz w:val="24"/>
          <w:szCs w:val="24"/>
        </w:rPr>
        <w:t xml:space="preserve"> Indeed, </w:t>
      </w:r>
      <w:r w:rsidR="00346A3F">
        <w:rPr>
          <w:rFonts w:ascii="Gill Sans MT" w:hAnsi="Gill Sans MT"/>
          <w:sz w:val="24"/>
          <w:szCs w:val="24"/>
        </w:rPr>
        <w:t>it is accepted that, w</w:t>
      </w:r>
      <w:r w:rsidR="00346A3F" w:rsidRPr="00346A3F">
        <w:rPr>
          <w:rFonts w:ascii="Gill Sans MT" w:hAnsi="Gill Sans MT"/>
          <w:sz w:val="24"/>
          <w:szCs w:val="24"/>
        </w:rPr>
        <w:t>here the ‘mitigation’ strategy is strip, map and sample</w:t>
      </w:r>
      <w:r w:rsidR="00346A3F">
        <w:rPr>
          <w:rFonts w:ascii="Gill Sans MT" w:hAnsi="Gill Sans MT"/>
          <w:sz w:val="24"/>
          <w:szCs w:val="24"/>
        </w:rPr>
        <w:t>,</w:t>
      </w:r>
      <w:r w:rsidR="00346A3F" w:rsidRPr="00346A3F">
        <w:rPr>
          <w:rFonts w:ascii="Gill Sans MT" w:hAnsi="Gill Sans MT"/>
          <w:sz w:val="24"/>
          <w:szCs w:val="24"/>
        </w:rPr>
        <w:t xml:space="preserve"> the questions that evaluation needs to answer are</w:t>
      </w:r>
      <w:r w:rsidR="00346A3F">
        <w:rPr>
          <w:rFonts w:ascii="Gill Sans MT" w:hAnsi="Gill Sans MT"/>
          <w:sz w:val="24"/>
          <w:szCs w:val="24"/>
        </w:rPr>
        <w:t>: are</w:t>
      </w:r>
      <w:r w:rsidR="00346A3F" w:rsidRPr="00346A3F">
        <w:rPr>
          <w:rFonts w:ascii="Gill Sans MT" w:hAnsi="Gill Sans MT"/>
          <w:sz w:val="24"/>
          <w:szCs w:val="24"/>
        </w:rPr>
        <w:t xml:space="preserve"> there likely to be sufficiently significant heritage assets to cause the application to be refused (or modified to reduce the available area to the extent that the applicati</w:t>
      </w:r>
      <w:r w:rsidR="00346A3F">
        <w:rPr>
          <w:rFonts w:ascii="Gill Sans MT" w:hAnsi="Gill Sans MT"/>
          <w:sz w:val="24"/>
          <w:szCs w:val="24"/>
        </w:rPr>
        <w:t>on is not worth proceeding with)</w:t>
      </w:r>
      <w:r w:rsidR="00346A3F" w:rsidRPr="00346A3F">
        <w:rPr>
          <w:rFonts w:ascii="Gill Sans MT" w:hAnsi="Gill Sans MT"/>
          <w:sz w:val="24"/>
          <w:szCs w:val="24"/>
        </w:rPr>
        <w:t>, or to make post-determination archaeological intervention too costly for it to be worth taking the application forward?</w:t>
      </w:r>
    </w:p>
    <w:p w:rsidR="009B53E4" w:rsidRDefault="009B53E4" w:rsidP="00B050F1">
      <w:pPr>
        <w:spacing w:after="0"/>
        <w:rPr>
          <w:rFonts w:ascii="Gill Sans MT" w:hAnsi="Gill Sans MT"/>
          <w:sz w:val="24"/>
          <w:szCs w:val="24"/>
        </w:rPr>
      </w:pPr>
    </w:p>
    <w:p w:rsidR="008B6FF4" w:rsidRDefault="00346A3F" w:rsidP="002F57AA">
      <w:pPr>
        <w:spacing w:after="0"/>
        <w:jc w:val="both"/>
        <w:rPr>
          <w:rFonts w:ascii="Gill Sans MT" w:hAnsi="Gill Sans MT"/>
          <w:sz w:val="24"/>
          <w:szCs w:val="24"/>
        </w:rPr>
      </w:pPr>
      <w:r>
        <w:rPr>
          <w:rFonts w:ascii="Gill Sans MT" w:hAnsi="Gill Sans MT"/>
          <w:sz w:val="24"/>
          <w:szCs w:val="24"/>
        </w:rPr>
        <w:t>Nonetheless, others still</w:t>
      </w:r>
      <w:r w:rsidR="00F405BF">
        <w:rPr>
          <w:rFonts w:ascii="Gill Sans MT" w:hAnsi="Gill Sans MT"/>
          <w:sz w:val="24"/>
          <w:szCs w:val="24"/>
        </w:rPr>
        <w:t xml:space="preserve"> had concerns with the approach </w:t>
      </w:r>
      <w:r>
        <w:rPr>
          <w:rFonts w:ascii="Gill Sans MT" w:hAnsi="Gill Sans MT"/>
          <w:sz w:val="24"/>
          <w:szCs w:val="24"/>
        </w:rPr>
        <w:t xml:space="preserve">relating to evaluation trenching </w:t>
      </w:r>
      <w:r w:rsidR="00F405BF">
        <w:rPr>
          <w:rFonts w:ascii="Gill Sans MT" w:hAnsi="Gill Sans MT"/>
          <w:sz w:val="24"/>
          <w:szCs w:val="24"/>
        </w:rPr>
        <w:t>which included the following:</w:t>
      </w:r>
    </w:p>
    <w:p w:rsidR="00E363BC" w:rsidRDefault="00F405BF" w:rsidP="002F57AA">
      <w:pPr>
        <w:spacing w:after="0"/>
        <w:jc w:val="both"/>
        <w:rPr>
          <w:rFonts w:ascii="Gill Sans MT" w:hAnsi="Gill Sans MT"/>
          <w:sz w:val="24"/>
          <w:szCs w:val="24"/>
        </w:rPr>
      </w:pPr>
      <w:r w:rsidRPr="00F405BF">
        <w:rPr>
          <w:rFonts w:ascii="Gill Sans MT" w:hAnsi="Gill Sans MT"/>
          <w:sz w:val="24"/>
          <w:szCs w:val="24"/>
        </w:rPr>
        <w:t>•</w:t>
      </w:r>
      <w:r w:rsidRPr="00F405BF">
        <w:rPr>
          <w:rFonts w:ascii="Gill Sans MT" w:hAnsi="Gill Sans MT"/>
          <w:sz w:val="24"/>
          <w:szCs w:val="24"/>
        </w:rPr>
        <w:tab/>
      </w:r>
      <w:r>
        <w:rPr>
          <w:rFonts w:ascii="Gill Sans MT" w:hAnsi="Gill Sans MT"/>
          <w:sz w:val="24"/>
          <w:szCs w:val="24"/>
        </w:rPr>
        <w:t>S</w:t>
      </w:r>
      <w:r w:rsidRPr="00F405BF">
        <w:rPr>
          <w:rFonts w:ascii="Gill Sans MT" w:hAnsi="Gill Sans MT"/>
          <w:sz w:val="24"/>
          <w:szCs w:val="24"/>
        </w:rPr>
        <w:t xml:space="preserve">tatistical evidence </w:t>
      </w:r>
      <w:r>
        <w:rPr>
          <w:rFonts w:ascii="Gill Sans MT" w:hAnsi="Gill Sans MT"/>
          <w:sz w:val="24"/>
          <w:szCs w:val="24"/>
        </w:rPr>
        <w:t>of</w:t>
      </w:r>
      <w:r w:rsidRPr="00F405BF">
        <w:rPr>
          <w:rFonts w:ascii="Gill Sans MT" w:hAnsi="Gill Sans MT"/>
          <w:sz w:val="24"/>
          <w:szCs w:val="24"/>
        </w:rPr>
        <w:t xml:space="preserve"> current practice</w:t>
      </w:r>
      <w:r>
        <w:rPr>
          <w:rFonts w:ascii="Gill Sans MT" w:hAnsi="Gill Sans MT"/>
          <w:sz w:val="24"/>
          <w:szCs w:val="24"/>
        </w:rPr>
        <w:t xml:space="preserve"> </w:t>
      </w:r>
      <w:r w:rsidR="00EE2386">
        <w:rPr>
          <w:rFonts w:ascii="Gill Sans MT" w:hAnsi="Gill Sans MT"/>
          <w:sz w:val="24"/>
          <w:szCs w:val="24"/>
        </w:rPr>
        <w:t xml:space="preserve">in terms of the outcomes of evaluation </w:t>
      </w:r>
      <w:r>
        <w:rPr>
          <w:rFonts w:ascii="Gill Sans MT" w:hAnsi="Gill Sans MT"/>
          <w:sz w:val="24"/>
          <w:szCs w:val="24"/>
        </w:rPr>
        <w:t>is lacking</w:t>
      </w:r>
      <w:r w:rsidR="00E363BC">
        <w:rPr>
          <w:rFonts w:ascii="Gill Sans MT" w:hAnsi="Gill Sans MT"/>
          <w:sz w:val="24"/>
          <w:szCs w:val="24"/>
        </w:rPr>
        <w:t>.</w:t>
      </w:r>
    </w:p>
    <w:p w:rsidR="00F405BF" w:rsidRPr="00F405BF" w:rsidRDefault="00F405BF" w:rsidP="002F57AA">
      <w:pPr>
        <w:spacing w:after="0"/>
        <w:jc w:val="both"/>
        <w:rPr>
          <w:rFonts w:ascii="Gill Sans MT" w:hAnsi="Gill Sans MT"/>
          <w:sz w:val="24"/>
          <w:szCs w:val="24"/>
        </w:rPr>
      </w:pPr>
      <w:r>
        <w:rPr>
          <w:rFonts w:ascii="Gill Sans MT" w:hAnsi="Gill Sans MT"/>
          <w:sz w:val="24"/>
          <w:szCs w:val="24"/>
        </w:rPr>
        <w:t>•</w:t>
      </w:r>
      <w:r>
        <w:rPr>
          <w:rFonts w:ascii="Gill Sans MT" w:hAnsi="Gill Sans MT"/>
          <w:sz w:val="24"/>
          <w:szCs w:val="24"/>
        </w:rPr>
        <w:tab/>
      </w:r>
      <w:r w:rsidR="002F57AA">
        <w:rPr>
          <w:rFonts w:ascii="Gill Sans MT" w:hAnsi="Gill Sans MT"/>
          <w:sz w:val="24"/>
          <w:szCs w:val="24"/>
        </w:rPr>
        <w:t>Consultees referred to</w:t>
      </w:r>
      <w:r>
        <w:rPr>
          <w:rFonts w:ascii="Gill Sans MT" w:hAnsi="Gill Sans MT"/>
          <w:sz w:val="24"/>
          <w:szCs w:val="24"/>
        </w:rPr>
        <w:t xml:space="preserve"> </w:t>
      </w:r>
      <w:r w:rsidRPr="00F405BF">
        <w:rPr>
          <w:rFonts w:ascii="Gill Sans MT" w:hAnsi="Gill Sans MT"/>
          <w:sz w:val="24"/>
          <w:szCs w:val="24"/>
        </w:rPr>
        <w:t xml:space="preserve">anecdotal evidence that the current industry standard mean </w:t>
      </w:r>
      <w:r>
        <w:rPr>
          <w:rFonts w:ascii="Gill Sans MT" w:hAnsi="Gill Sans MT"/>
          <w:sz w:val="24"/>
          <w:szCs w:val="24"/>
        </w:rPr>
        <w:t>percentage is in the range of 1-5%</w:t>
      </w:r>
      <w:r w:rsidRPr="00F405BF">
        <w:rPr>
          <w:rFonts w:ascii="Gill Sans MT" w:hAnsi="Gill Sans MT"/>
          <w:sz w:val="24"/>
          <w:szCs w:val="24"/>
        </w:rPr>
        <w:t xml:space="preserve"> (</w:t>
      </w:r>
      <w:r>
        <w:rPr>
          <w:rFonts w:ascii="Gill Sans MT" w:hAnsi="Gill Sans MT"/>
          <w:sz w:val="24"/>
          <w:szCs w:val="24"/>
        </w:rPr>
        <w:t>possibly with some</w:t>
      </w:r>
      <w:r w:rsidRPr="00F405BF">
        <w:rPr>
          <w:rFonts w:ascii="Gill Sans MT" w:hAnsi="Gill Sans MT"/>
          <w:sz w:val="24"/>
          <w:szCs w:val="24"/>
        </w:rPr>
        <w:t xml:space="preserve"> regional variation with perhaps 2-5% in the </w:t>
      </w:r>
      <w:r w:rsidRPr="00F405BF">
        <w:rPr>
          <w:rFonts w:ascii="Gill Sans MT" w:hAnsi="Gill Sans MT"/>
          <w:sz w:val="24"/>
          <w:szCs w:val="24"/>
        </w:rPr>
        <w:lastRenderedPageBreak/>
        <w:t>south and 1-4% in the midlands and north)</w:t>
      </w:r>
      <w:r w:rsidR="00346A3F">
        <w:rPr>
          <w:rFonts w:ascii="Gill Sans MT" w:hAnsi="Gill Sans MT"/>
          <w:sz w:val="24"/>
          <w:szCs w:val="24"/>
        </w:rPr>
        <w:t>.</w:t>
      </w:r>
      <w:r w:rsidR="00EE2386">
        <w:rPr>
          <w:rFonts w:ascii="Gill Sans MT" w:hAnsi="Gill Sans MT"/>
          <w:sz w:val="24"/>
          <w:szCs w:val="24"/>
        </w:rPr>
        <w:t xml:space="preserve"> However, relying on such anecdotal evidence </w:t>
      </w:r>
      <w:proofErr w:type="gramStart"/>
      <w:r w:rsidR="00EE2386">
        <w:rPr>
          <w:rFonts w:ascii="Gill Sans MT" w:hAnsi="Gill Sans MT"/>
          <w:sz w:val="24"/>
          <w:szCs w:val="24"/>
        </w:rPr>
        <w:t>in itself highlights</w:t>
      </w:r>
      <w:proofErr w:type="gramEnd"/>
      <w:r w:rsidR="00EE2386">
        <w:rPr>
          <w:rFonts w:ascii="Gill Sans MT" w:hAnsi="Gill Sans MT"/>
          <w:sz w:val="24"/>
          <w:szCs w:val="24"/>
        </w:rPr>
        <w:t xml:space="preserve"> the urgent need for empirical evidence in this area</w:t>
      </w:r>
      <w:r w:rsidR="00E363BC">
        <w:rPr>
          <w:rFonts w:ascii="Gill Sans MT" w:hAnsi="Gill Sans MT"/>
          <w:sz w:val="24"/>
          <w:szCs w:val="24"/>
        </w:rPr>
        <w:t>.</w:t>
      </w:r>
    </w:p>
    <w:p w:rsidR="00F405BF" w:rsidRDefault="00F405BF" w:rsidP="002F57AA">
      <w:pPr>
        <w:spacing w:after="0"/>
        <w:jc w:val="both"/>
        <w:rPr>
          <w:rFonts w:ascii="Gill Sans MT" w:hAnsi="Gill Sans MT"/>
          <w:sz w:val="24"/>
          <w:szCs w:val="24"/>
        </w:rPr>
      </w:pPr>
      <w:r w:rsidRPr="00F405BF">
        <w:rPr>
          <w:rFonts w:ascii="Gill Sans MT" w:hAnsi="Gill Sans MT"/>
          <w:sz w:val="24"/>
          <w:szCs w:val="24"/>
        </w:rPr>
        <w:t>•</w:t>
      </w:r>
      <w:r w:rsidRPr="00F405BF">
        <w:rPr>
          <w:rFonts w:ascii="Gill Sans MT" w:hAnsi="Gill Sans MT"/>
          <w:sz w:val="24"/>
          <w:szCs w:val="24"/>
        </w:rPr>
        <w:tab/>
        <w:t xml:space="preserve">As such, </w:t>
      </w:r>
      <w:r w:rsidR="00EE2386">
        <w:rPr>
          <w:rFonts w:ascii="Gill Sans MT" w:hAnsi="Gill Sans MT"/>
          <w:sz w:val="24"/>
          <w:szCs w:val="24"/>
        </w:rPr>
        <w:t xml:space="preserve">without good empirical evidence of current practice </w:t>
      </w:r>
      <w:r w:rsidRPr="00F405BF">
        <w:rPr>
          <w:rFonts w:ascii="Gill Sans MT" w:hAnsi="Gill Sans MT"/>
          <w:sz w:val="24"/>
          <w:szCs w:val="24"/>
        </w:rPr>
        <w:t>it is not appropriate to say in para</w:t>
      </w:r>
      <w:r>
        <w:rPr>
          <w:rFonts w:ascii="Gill Sans MT" w:hAnsi="Gill Sans MT"/>
          <w:sz w:val="24"/>
          <w:szCs w:val="24"/>
        </w:rPr>
        <w:t>graph</w:t>
      </w:r>
      <w:r w:rsidRPr="00F405BF">
        <w:rPr>
          <w:rFonts w:ascii="Gill Sans MT" w:hAnsi="Gill Sans MT"/>
          <w:sz w:val="24"/>
          <w:szCs w:val="24"/>
        </w:rPr>
        <w:t xml:space="preserve"> 68 that the new norm is 0.5-2% and all outside this should require special justification, if </w:t>
      </w:r>
      <w:r>
        <w:rPr>
          <w:rFonts w:ascii="Gill Sans MT" w:hAnsi="Gill Sans MT"/>
          <w:sz w:val="24"/>
          <w:szCs w:val="24"/>
        </w:rPr>
        <w:t>(</w:t>
      </w:r>
      <w:r w:rsidRPr="00F405BF">
        <w:rPr>
          <w:rFonts w:ascii="Gill Sans MT" w:hAnsi="Gill Sans MT"/>
          <w:sz w:val="24"/>
          <w:szCs w:val="24"/>
        </w:rPr>
        <w:t xml:space="preserve">as </w:t>
      </w:r>
      <w:r>
        <w:rPr>
          <w:rFonts w:ascii="Gill Sans MT" w:hAnsi="Gill Sans MT"/>
          <w:sz w:val="24"/>
          <w:szCs w:val="24"/>
        </w:rPr>
        <w:t>is</w:t>
      </w:r>
      <w:r w:rsidRPr="00F405BF">
        <w:rPr>
          <w:rFonts w:ascii="Gill Sans MT" w:hAnsi="Gill Sans MT"/>
          <w:sz w:val="24"/>
          <w:szCs w:val="24"/>
        </w:rPr>
        <w:t xml:space="preserve"> believe</w:t>
      </w:r>
      <w:r>
        <w:rPr>
          <w:rFonts w:ascii="Gill Sans MT" w:hAnsi="Gill Sans MT"/>
          <w:sz w:val="24"/>
          <w:szCs w:val="24"/>
        </w:rPr>
        <w:t>d</w:t>
      </w:r>
      <w:r w:rsidRPr="00F405BF">
        <w:rPr>
          <w:rFonts w:ascii="Gill Sans MT" w:hAnsi="Gill Sans MT"/>
          <w:sz w:val="24"/>
          <w:szCs w:val="24"/>
        </w:rPr>
        <w:t>) this is a departure from the current industry standard</w:t>
      </w:r>
      <w:r w:rsidR="00E363BC">
        <w:rPr>
          <w:rFonts w:ascii="Gill Sans MT" w:hAnsi="Gill Sans MT"/>
          <w:sz w:val="24"/>
          <w:szCs w:val="24"/>
        </w:rPr>
        <w:t>.</w:t>
      </w:r>
      <w:r w:rsidRPr="00F405BF">
        <w:rPr>
          <w:rFonts w:ascii="Gill Sans MT" w:hAnsi="Gill Sans MT"/>
          <w:sz w:val="24"/>
          <w:szCs w:val="24"/>
        </w:rPr>
        <w:t xml:space="preserve"> (</w:t>
      </w:r>
      <w:r>
        <w:rPr>
          <w:rFonts w:ascii="Gill Sans MT" w:hAnsi="Gill Sans MT"/>
          <w:sz w:val="24"/>
          <w:szCs w:val="24"/>
        </w:rPr>
        <w:t>Doubts have been expressed as to whether</w:t>
      </w:r>
      <w:r w:rsidRPr="00F405BF">
        <w:rPr>
          <w:rFonts w:ascii="Gill Sans MT" w:hAnsi="Gill Sans MT"/>
          <w:sz w:val="24"/>
          <w:szCs w:val="24"/>
        </w:rPr>
        <w:t xml:space="preserve"> any local authority archaeological advisor who would </w:t>
      </w:r>
      <w:r>
        <w:rPr>
          <w:rFonts w:ascii="Gill Sans MT" w:hAnsi="Gill Sans MT"/>
          <w:sz w:val="24"/>
          <w:szCs w:val="24"/>
        </w:rPr>
        <w:t xml:space="preserve">currently </w:t>
      </w:r>
      <w:r w:rsidRPr="00F405BF">
        <w:rPr>
          <w:rFonts w:ascii="Gill Sans MT" w:hAnsi="Gill Sans MT"/>
          <w:sz w:val="24"/>
          <w:szCs w:val="24"/>
        </w:rPr>
        <w:t>recommend or accept 0.5%</w:t>
      </w:r>
      <w:r w:rsidR="00EE2386">
        <w:rPr>
          <w:rFonts w:ascii="Gill Sans MT" w:hAnsi="Gill Sans MT"/>
          <w:sz w:val="24"/>
          <w:szCs w:val="24"/>
        </w:rPr>
        <w:t xml:space="preserve"> without the type of special justification referred to in the text</w:t>
      </w:r>
      <w:r w:rsidR="00E363BC">
        <w:rPr>
          <w:rFonts w:ascii="Gill Sans MT" w:hAnsi="Gill Sans MT"/>
          <w:sz w:val="24"/>
          <w:szCs w:val="24"/>
        </w:rPr>
        <w:t>.</w:t>
      </w:r>
      <w:r w:rsidRPr="00F405BF">
        <w:rPr>
          <w:rFonts w:ascii="Gill Sans MT" w:hAnsi="Gill Sans MT"/>
          <w:sz w:val="24"/>
          <w:szCs w:val="24"/>
        </w:rPr>
        <w:t xml:space="preserve">)  </w:t>
      </w:r>
    </w:p>
    <w:p w:rsidR="002F57AA" w:rsidRPr="00F405BF" w:rsidRDefault="002F57AA" w:rsidP="002F57AA">
      <w:pPr>
        <w:spacing w:after="0"/>
        <w:jc w:val="both"/>
        <w:rPr>
          <w:rFonts w:ascii="Gill Sans MT" w:hAnsi="Gill Sans MT"/>
          <w:sz w:val="24"/>
          <w:szCs w:val="24"/>
        </w:rPr>
      </w:pPr>
      <w:r w:rsidRPr="002F57AA">
        <w:rPr>
          <w:rFonts w:ascii="Gill Sans MT" w:hAnsi="Gill Sans MT"/>
          <w:sz w:val="24"/>
          <w:szCs w:val="24"/>
        </w:rPr>
        <w:t>•</w:t>
      </w:r>
      <w:r w:rsidRPr="002F57AA">
        <w:rPr>
          <w:rFonts w:ascii="Gill Sans MT" w:hAnsi="Gill Sans MT"/>
          <w:sz w:val="24"/>
          <w:szCs w:val="24"/>
        </w:rPr>
        <w:tab/>
      </w:r>
      <w:r>
        <w:rPr>
          <w:rFonts w:ascii="Gill Sans MT" w:hAnsi="Gill Sans MT"/>
          <w:sz w:val="24"/>
          <w:szCs w:val="24"/>
        </w:rPr>
        <w:t xml:space="preserve">For </w:t>
      </w:r>
      <w:r w:rsidR="00EE2386">
        <w:rPr>
          <w:rFonts w:ascii="Gill Sans MT" w:hAnsi="Gill Sans MT"/>
          <w:sz w:val="24"/>
          <w:szCs w:val="24"/>
        </w:rPr>
        <w:t>example</w:t>
      </w:r>
      <w:r>
        <w:rPr>
          <w:rFonts w:ascii="Gill Sans MT" w:hAnsi="Gill Sans MT"/>
          <w:sz w:val="24"/>
          <w:szCs w:val="24"/>
        </w:rPr>
        <w:t>, i</w:t>
      </w:r>
      <w:r w:rsidRPr="002F57AA">
        <w:rPr>
          <w:rFonts w:ascii="Gill Sans MT" w:hAnsi="Gill Sans MT"/>
          <w:sz w:val="24"/>
          <w:szCs w:val="24"/>
        </w:rPr>
        <w:t xml:space="preserve">n the specific case of areas of deeper soil that mask the archaeology from AP survey and geophysics, any archaeological remains present are also likely to be well preserved and are unlikely to be characterised in any form from geotechnical works.  For such </w:t>
      </w:r>
      <w:proofErr w:type="gramStart"/>
      <w:r w:rsidRPr="002F57AA">
        <w:rPr>
          <w:rFonts w:ascii="Gill Sans MT" w:hAnsi="Gill Sans MT"/>
          <w:sz w:val="24"/>
          <w:szCs w:val="24"/>
        </w:rPr>
        <w:t>areas</w:t>
      </w:r>
      <w:proofErr w:type="gramEnd"/>
      <w:r w:rsidRPr="002F57AA">
        <w:rPr>
          <w:rFonts w:ascii="Gill Sans MT" w:hAnsi="Gill Sans MT"/>
          <w:sz w:val="24"/>
          <w:szCs w:val="24"/>
        </w:rPr>
        <w:t xml:space="preserve"> </w:t>
      </w:r>
      <w:r w:rsidR="00EE2386">
        <w:rPr>
          <w:rFonts w:ascii="Gill Sans MT" w:hAnsi="Gill Sans MT"/>
          <w:sz w:val="24"/>
          <w:szCs w:val="24"/>
        </w:rPr>
        <w:t xml:space="preserve">it could reasonably argued that </w:t>
      </w:r>
      <w:r w:rsidRPr="002F57AA">
        <w:rPr>
          <w:rFonts w:ascii="Gill Sans MT" w:hAnsi="Gill Sans MT"/>
          <w:sz w:val="24"/>
          <w:szCs w:val="24"/>
        </w:rPr>
        <w:t>5% would be a minimum, unless there was good evidence (special justification</w:t>
      </w:r>
      <w:r w:rsidR="00EE2386">
        <w:rPr>
          <w:rFonts w:ascii="Gill Sans MT" w:hAnsi="Gill Sans MT"/>
          <w:sz w:val="24"/>
          <w:szCs w:val="24"/>
        </w:rPr>
        <w:t xml:space="preserve"> for a lower percentage</w:t>
      </w:r>
      <w:r w:rsidRPr="002F57AA">
        <w:rPr>
          <w:rFonts w:ascii="Gill Sans MT" w:hAnsi="Gill Sans MT"/>
          <w:sz w:val="24"/>
          <w:szCs w:val="24"/>
        </w:rPr>
        <w:t>) from geology and geomorphology that that archaeological potential was v</w:t>
      </w:r>
      <w:r w:rsidR="00EE2386">
        <w:rPr>
          <w:rFonts w:ascii="Gill Sans MT" w:hAnsi="Gill Sans MT"/>
          <w:sz w:val="24"/>
          <w:szCs w:val="24"/>
        </w:rPr>
        <w:t>ery</w:t>
      </w:r>
      <w:r w:rsidRPr="002F57AA">
        <w:rPr>
          <w:rFonts w:ascii="Gill Sans MT" w:hAnsi="Gill Sans MT"/>
          <w:sz w:val="24"/>
          <w:szCs w:val="24"/>
        </w:rPr>
        <w:t xml:space="preserve"> low and the % below 5.    </w:t>
      </w:r>
    </w:p>
    <w:p w:rsidR="00F405BF" w:rsidRDefault="00F405BF" w:rsidP="002F57AA">
      <w:pPr>
        <w:spacing w:after="0"/>
        <w:jc w:val="both"/>
        <w:rPr>
          <w:rFonts w:ascii="Gill Sans MT" w:hAnsi="Gill Sans MT"/>
          <w:sz w:val="24"/>
          <w:szCs w:val="24"/>
        </w:rPr>
      </w:pPr>
      <w:r>
        <w:rPr>
          <w:rFonts w:ascii="Gill Sans MT" w:hAnsi="Gill Sans MT"/>
          <w:sz w:val="24"/>
          <w:szCs w:val="24"/>
        </w:rPr>
        <w:t>•</w:t>
      </w:r>
      <w:r>
        <w:rPr>
          <w:rFonts w:ascii="Gill Sans MT" w:hAnsi="Gill Sans MT"/>
          <w:sz w:val="24"/>
          <w:szCs w:val="24"/>
        </w:rPr>
        <w:tab/>
        <w:t>I</w:t>
      </w:r>
      <w:r w:rsidRPr="00F405BF">
        <w:rPr>
          <w:rFonts w:ascii="Gill Sans MT" w:hAnsi="Gill Sans MT"/>
          <w:sz w:val="24"/>
          <w:szCs w:val="24"/>
        </w:rPr>
        <w:t>f the proposed % range is a departure f</w:t>
      </w:r>
      <w:r w:rsidR="002F57AA">
        <w:rPr>
          <w:rFonts w:ascii="Gill Sans MT" w:hAnsi="Gill Sans MT"/>
          <w:sz w:val="24"/>
          <w:szCs w:val="24"/>
        </w:rPr>
        <w:t>rom</w:t>
      </w:r>
      <w:r w:rsidRPr="00F405BF">
        <w:rPr>
          <w:rFonts w:ascii="Gill Sans MT" w:hAnsi="Gill Sans MT"/>
          <w:sz w:val="24"/>
          <w:szCs w:val="24"/>
        </w:rPr>
        <w:t xml:space="preserve"> current industry standard</w:t>
      </w:r>
      <w:r w:rsidR="002F57AA">
        <w:rPr>
          <w:rFonts w:ascii="Gill Sans MT" w:hAnsi="Gill Sans MT"/>
          <w:sz w:val="24"/>
          <w:szCs w:val="24"/>
        </w:rPr>
        <w:t>s</w:t>
      </w:r>
      <w:r>
        <w:rPr>
          <w:rFonts w:ascii="Gill Sans MT" w:hAnsi="Gill Sans MT"/>
          <w:sz w:val="24"/>
          <w:szCs w:val="24"/>
        </w:rPr>
        <w:t xml:space="preserve"> this needs further justification</w:t>
      </w:r>
      <w:r w:rsidR="00346A3F">
        <w:rPr>
          <w:rFonts w:ascii="Gill Sans MT" w:hAnsi="Gill Sans MT"/>
          <w:sz w:val="24"/>
          <w:szCs w:val="24"/>
        </w:rPr>
        <w:t xml:space="preserve"> and explanation.</w:t>
      </w:r>
    </w:p>
    <w:p w:rsidR="00346A3F" w:rsidRDefault="00346A3F" w:rsidP="00F405BF">
      <w:pPr>
        <w:spacing w:after="0"/>
        <w:rPr>
          <w:rFonts w:ascii="Gill Sans MT" w:hAnsi="Gill Sans MT"/>
          <w:sz w:val="24"/>
          <w:szCs w:val="24"/>
        </w:rPr>
      </w:pPr>
    </w:p>
    <w:p w:rsidR="00F405BF" w:rsidRPr="00B050F1" w:rsidRDefault="00F405BF" w:rsidP="002F57AA">
      <w:pPr>
        <w:spacing w:after="0"/>
        <w:jc w:val="both"/>
        <w:rPr>
          <w:rFonts w:ascii="Gill Sans MT" w:hAnsi="Gill Sans MT"/>
          <w:sz w:val="24"/>
          <w:szCs w:val="24"/>
        </w:rPr>
      </w:pPr>
      <w:r>
        <w:rPr>
          <w:rFonts w:ascii="Gill Sans MT" w:hAnsi="Gill Sans MT"/>
          <w:sz w:val="24"/>
          <w:szCs w:val="24"/>
        </w:rPr>
        <w:t>With those very real concerns expressed by some consultees, we cannot at this stage fully endorse the approach in paragraph 68.</w:t>
      </w:r>
    </w:p>
    <w:p w:rsidR="00B050F1" w:rsidRDefault="00B050F1">
      <w:pPr>
        <w:rPr>
          <w:rFonts w:ascii="Gill Sans MT" w:hAnsi="Gill Sans MT"/>
          <w:sz w:val="24"/>
          <w:szCs w:val="24"/>
        </w:rPr>
      </w:pPr>
    </w:p>
    <w:p w:rsidR="00B050F1" w:rsidRPr="00B050F1" w:rsidRDefault="00B050F1" w:rsidP="00B050F1">
      <w:pPr>
        <w:spacing w:after="0"/>
        <w:rPr>
          <w:rFonts w:ascii="Gill Sans MT" w:hAnsi="Gill Sans MT"/>
          <w:b/>
          <w:sz w:val="24"/>
          <w:szCs w:val="24"/>
        </w:rPr>
      </w:pPr>
      <w:r w:rsidRPr="00B050F1">
        <w:rPr>
          <w:rFonts w:ascii="Gill Sans MT" w:hAnsi="Gill Sans MT"/>
          <w:b/>
          <w:sz w:val="24"/>
          <w:szCs w:val="24"/>
        </w:rPr>
        <w:t>PART 3: ANY OTHER COMMENTS AND NEXT STEPS</w:t>
      </w:r>
    </w:p>
    <w:p w:rsidR="00B050F1" w:rsidRPr="00B050F1" w:rsidRDefault="00B050F1" w:rsidP="00B050F1">
      <w:pPr>
        <w:spacing w:after="0"/>
        <w:rPr>
          <w:rFonts w:ascii="Gill Sans MT" w:hAnsi="Gill Sans MT"/>
          <w:sz w:val="24"/>
          <w:szCs w:val="24"/>
        </w:rPr>
      </w:pPr>
      <w:r w:rsidRPr="00B050F1">
        <w:rPr>
          <w:rFonts w:ascii="Gill Sans MT" w:hAnsi="Gill Sans MT"/>
          <w:sz w:val="24"/>
          <w:szCs w:val="24"/>
        </w:rPr>
        <w:t>Thank you for taking part in this survey. MHEF will review all responses and agree next steps. It is envisaged that a summary of responses will be issued to all respondents on completion of the consultation.</w:t>
      </w:r>
    </w:p>
    <w:p w:rsidR="00B050F1" w:rsidRPr="00B050F1" w:rsidRDefault="00B050F1" w:rsidP="00B050F1">
      <w:pPr>
        <w:spacing w:after="0"/>
        <w:rPr>
          <w:rFonts w:ascii="Gill Sans MT" w:hAnsi="Gill Sans MT"/>
          <w:sz w:val="24"/>
          <w:szCs w:val="24"/>
        </w:rPr>
      </w:pPr>
    </w:p>
    <w:p w:rsidR="00B050F1" w:rsidRPr="00B050F1" w:rsidRDefault="00B050F1" w:rsidP="00B050F1">
      <w:pPr>
        <w:spacing w:after="0"/>
        <w:rPr>
          <w:rFonts w:ascii="Gill Sans MT" w:hAnsi="Gill Sans MT"/>
          <w:sz w:val="24"/>
          <w:szCs w:val="24"/>
        </w:rPr>
      </w:pPr>
      <w:r w:rsidRPr="00B050F1">
        <w:rPr>
          <w:rFonts w:ascii="Gill Sans MT" w:hAnsi="Gill Sans MT"/>
          <w:sz w:val="24"/>
          <w:szCs w:val="24"/>
        </w:rPr>
        <w:t>If you have any further comments you'd like to make, please include them in your answer to question 10 below.</w:t>
      </w:r>
    </w:p>
    <w:p w:rsidR="00B050F1" w:rsidRPr="00B050F1" w:rsidRDefault="00B050F1" w:rsidP="00B050F1">
      <w:pPr>
        <w:spacing w:after="0"/>
        <w:rPr>
          <w:rFonts w:ascii="Gill Sans MT" w:hAnsi="Gill Sans MT"/>
          <w:sz w:val="24"/>
          <w:szCs w:val="24"/>
        </w:rPr>
      </w:pPr>
    </w:p>
    <w:p w:rsidR="00B050F1" w:rsidRDefault="00B050F1" w:rsidP="00B050F1">
      <w:pPr>
        <w:spacing w:after="0"/>
        <w:rPr>
          <w:rFonts w:ascii="Gill Sans MT" w:hAnsi="Gill Sans MT"/>
          <w:b/>
          <w:sz w:val="24"/>
          <w:szCs w:val="24"/>
        </w:rPr>
      </w:pPr>
      <w:r w:rsidRPr="00B050F1">
        <w:rPr>
          <w:rFonts w:ascii="Gill Sans MT" w:hAnsi="Gill Sans MT"/>
          <w:b/>
          <w:sz w:val="24"/>
          <w:szCs w:val="24"/>
        </w:rPr>
        <w:t xml:space="preserve">10. If you have any other comments on the Practice Guide, </w:t>
      </w:r>
      <w:r w:rsidR="008D37E8">
        <w:rPr>
          <w:rFonts w:ascii="Gill Sans MT" w:hAnsi="Gill Sans MT"/>
          <w:b/>
          <w:sz w:val="24"/>
          <w:szCs w:val="24"/>
        </w:rPr>
        <w:t xml:space="preserve">or suggested next steps </w:t>
      </w:r>
      <w:r w:rsidRPr="00B050F1">
        <w:rPr>
          <w:rFonts w:ascii="Gill Sans MT" w:hAnsi="Gill Sans MT"/>
          <w:b/>
          <w:sz w:val="24"/>
          <w:szCs w:val="24"/>
        </w:rPr>
        <w:t>please state them here...</w:t>
      </w:r>
    </w:p>
    <w:p w:rsidR="003E4E96" w:rsidRDefault="003E4E96" w:rsidP="00B050F1">
      <w:pPr>
        <w:spacing w:after="0"/>
        <w:rPr>
          <w:rFonts w:ascii="Gill Sans MT" w:hAnsi="Gill Sans MT"/>
          <w:b/>
          <w:sz w:val="24"/>
          <w:szCs w:val="24"/>
        </w:rPr>
      </w:pPr>
    </w:p>
    <w:p w:rsidR="003E4E96" w:rsidRDefault="003E4E96" w:rsidP="002F57AA">
      <w:pPr>
        <w:spacing w:after="0"/>
        <w:jc w:val="both"/>
        <w:rPr>
          <w:rFonts w:ascii="Gill Sans MT" w:hAnsi="Gill Sans MT"/>
          <w:sz w:val="24"/>
          <w:szCs w:val="24"/>
        </w:rPr>
      </w:pPr>
      <w:r w:rsidRPr="003E4E96">
        <w:rPr>
          <w:rFonts w:ascii="Gill Sans MT" w:hAnsi="Gill Sans MT"/>
          <w:sz w:val="24"/>
          <w:szCs w:val="24"/>
        </w:rPr>
        <w:t>Other issues</w:t>
      </w:r>
      <w:r>
        <w:rPr>
          <w:rFonts w:ascii="Gill Sans MT" w:hAnsi="Gill Sans MT"/>
          <w:sz w:val="24"/>
          <w:szCs w:val="24"/>
        </w:rPr>
        <w:t xml:space="preserve"> raised by internal consultees included the need for:</w:t>
      </w:r>
    </w:p>
    <w:p w:rsidR="003E4E96" w:rsidRDefault="003E4E96" w:rsidP="002F57AA">
      <w:pPr>
        <w:spacing w:after="0"/>
        <w:jc w:val="both"/>
        <w:rPr>
          <w:rFonts w:ascii="Gill Sans MT" w:hAnsi="Gill Sans MT"/>
          <w:sz w:val="24"/>
          <w:szCs w:val="24"/>
        </w:rPr>
      </w:pPr>
    </w:p>
    <w:p w:rsidR="003E4E96" w:rsidRDefault="003E4E96" w:rsidP="002F57AA">
      <w:pPr>
        <w:pStyle w:val="ListParagraph"/>
        <w:numPr>
          <w:ilvl w:val="0"/>
          <w:numId w:val="8"/>
        </w:numPr>
        <w:spacing w:after="0"/>
        <w:jc w:val="both"/>
        <w:rPr>
          <w:rFonts w:ascii="Gill Sans MT" w:hAnsi="Gill Sans MT"/>
          <w:sz w:val="24"/>
          <w:szCs w:val="24"/>
        </w:rPr>
      </w:pPr>
      <w:r>
        <w:rPr>
          <w:rFonts w:ascii="Gill Sans MT" w:hAnsi="Gill Sans MT"/>
          <w:sz w:val="24"/>
          <w:szCs w:val="24"/>
        </w:rPr>
        <w:t>the</w:t>
      </w:r>
      <w:r w:rsidRPr="003E4E96">
        <w:rPr>
          <w:rFonts w:ascii="Gill Sans MT" w:hAnsi="Gill Sans MT"/>
          <w:sz w:val="24"/>
          <w:szCs w:val="24"/>
        </w:rPr>
        <w:t xml:space="preserve"> Practice Guide </w:t>
      </w:r>
      <w:r>
        <w:rPr>
          <w:rFonts w:ascii="Gill Sans MT" w:hAnsi="Gill Sans MT"/>
          <w:sz w:val="24"/>
          <w:szCs w:val="24"/>
        </w:rPr>
        <w:t>to</w:t>
      </w:r>
      <w:r w:rsidRPr="003E4E96">
        <w:rPr>
          <w:rFonts w:ascii="Gill Sans MT" w:hAnsi="Gill Sans MT"/>
          <w:sz w:val="24"/>
          <w:szCs w:val="24"/>
        </w:rPr>
        <w:t xml:space="preserve"> be promoted and supported as a tool in professional training by all parties involved in MHEF</w:t>
      </w:r>
      <w:r>
        <w:rPr>
          <w:rFonts w:ascii="Gill Sans MT" w:hAnsi="Gill Sans MT"/>
          <w:sz w:val="24"/>
          <w:szCs w:val="24"/>
        </w:rPr>
        <w:t xml:space="preserve"> (whether minerals operators, archaeologists or whomever)</w:t>
      </w:r>
    </w:p>
    <w:p w:rsidR="003E4E96" w:rsidRDefault="003E4E96" w:rsidP="002F57AA">
      <w:pPr>
        <w:pStyle w:val="ListParagraph"/>
        <w:numPr>
          <w:ilvl w:val="0"/>
          <w:numId w:val="8"/>
        </w:numPr>
        <w:spacing w:after="0"/>
        <w:jc w:val="both"/>
        <w:rPr>
          <w:rFonts w:ascii="Gill Sans MT" w:hAnsi="Gill Sans MT"/>
          <w:sz w:val="24"/>
          <w:szCs w:val="24"/>
        </w:rPr>
      </w:pPr>
      <w:r w:rsidRPr="003E4E96">
        <w:rPr>
          <w:rFonts w:ascii="Gill Sans MT" w:hAnsi="Gill Sans MT"/>
          <w:sz w:val="24"/>
          <w:szCs w:val="24"/>
        </w:rPr>
        <w:t xml:space="preserve">the “significance” of assets/archaeological remains </w:t>
      </w:r>
      <w:r>
        <w:rPr>
          <w:rFonts w:ascii="Gill Sans MT" w:hAnsi="Gill Sans MT"/>
          <w:sz w:val="24"/>
          <w:szCs w:val="24"/>
        </w:rPr>
        <w:t>to be</w:t>
      </w:r>
      <w:r w:rsidRPr="003E4E96">
        <w:rPr>
          <w:rFonts w:ascii="Gill Sans MT" w:hAnsi="Gill Sans MT"/>
          <w:sz w:val="24"/>
          <w:szCs w:val="24"/>
        </w:rPr>
        <w:t xml:space="preserve"> referred to throughout for consistency with </w:t>
      </w:r>
      <w:r>
        <w:rPr>
          <w:rFonts w:ascii="Gill Sans MT" w:hAnsi="Gill Sans MT"/>
          <w:sz w:val="24"/>
          <w:szCs w:val="24"/>
        </w:rPr>
        <w:t xml:space="preserve">the </w:t>
      </w:r>
      <w:r w:rsidRPr="003E4E96">
        <w:rPr>
          <w:rFonts w:ascii="Gill Sans MT" w:hAnsi="Gill Sans MT"/>
          <w:sz w:val="24"/>
          <w:szCs w:val="24"/>
        </w:rPr>
        <w:t>NPPF, rather than “value</w:t>
      </w:r>
      <w:r>
        <w:rPr>
          <w:rFonts w:ascii="Gill Sans MT" w:hAnsi="Gill Sans MT"/>
          <w:sz w:val="24"/>
          <w:szCs w:val="24"/>
        </w:rPr>
        <w:t>” or “interest” or “importance” (a point reflected in several suggested, textual revisions</w:t>
      </w:r>
      <w:r w:rsidR="0031040B">
        <w:rPr>
          <w:rFonts w:ascii="Gill Sans MT" w:hAnsi="Gill Sans MT"/>
          <w:sz w:val="24"/>
          <w:szCs w:val="24"/>
        </w:rPr>
        <w:t>)</w:t>
      </w:r>
    </w:p>
    <w:p w:rsidR="003E4E96" w:rsidRDefault="003E4E96" w:rsidP="002F57AA">
      <w:pPr>
        <w:pStyle w:val="ListParagraph"/>
        <w:numPr>
          <w:ilvl w:val="0"/>
          <w:numId w:val="8"/>
        </w:numPr>
        <w:spacing w:after="0"/>
        <w:jc w:val="both"/>
        <w:rPr>
          <w:rFonts w:ascii="Gill Sans MT" w:hAnsi="Gill Sans MT"/>
          <w:sz w:val="24"/>
          <w:szCs w:val="24"/>
        </w:rPr>
      </w:pPr>
      <w:r w:rsidRPr="003E4E96">
        <w:rPr>
          <w:rFonts w:ascii="Gill Sans MT" w:hAnsi="Gill Sans MT"/>
          <w:sz w:val="24"/>
          <w:szCs w:val="24"/>
        </w:rPr>
        <w:t xml:space="preserve">references to setting </w:t>
      </w:r>
      <w:r>
        <w:rPr>
          <w:rFonts w:ascii="Gill Sans MT" w:hAnsi="Gill Sans MT"/>
          <w:sz w:val="24"/>
          <w:szCs w:val="24"/>
        </w:rPr>
        <w:t>to</w:t>
      </w:r>
      <w:r w:rsidRPr="003E4E96">
        <w:rPr>
          <w:rFonts w:ascii="Gill Sans MT" w:hAnsi="Gill Sans MT"/>
          <w:sz w:val="24"/>
          <w:szCs w:val="24"/>
        </w:rPr>
        <w:t xml:space="preserve"> make clear that it is “changes to setting where setting makes a contribution to significance of assets” that is the crux of issue</w:t>
      </w:r>
      <w:r>
        <w:rPr>
          <w:rFonts w:ascii="Gill Sans MT" w:hAnsi="Gill Sans MT"/>
          <w:sz w:val="24"/>
          <w:szCs w:val="24"/>
        </w:rPr>
        <w:t xml:space="preserve"> </w:t>
      </w:r>
      <w:bookmarkStart w:id="0" w:name="_GoBack"/>
      <w:bookmarkEnd w:id="0"/>
    </w:p>
    <w:p w:rsidR="003E4E96" w:rsidRPr="003E4E96" w:rsidRDefault="003E4E96" w:rsidP="002F57AA">
      <w:pPr>
        <w:pStyle w:val="ListParagraph"/>
        <w:numPr>
          <w:ilvl w:val="0"/>
          <w:numId w:val="8"/>
        </w:numPr>
        <w:spacing w:after="0"/>
        <w:jc w:val="both"/>
        <w:rPr>
          <w:rFonts w:ascii="Gill Sans MT" w:hAnsi="Gill Sans MT"/>
          <w:sz w:val="24"/>
          <w:szCs w:val="24"/>
        </w:rPr>
      </w:pPr>
      <w:r>
        <w:rPr>
          <w:rFonts w:ascii="Gill Sans MT" w:hAnsi="Gill Sans MT"/>
          <w:sz w:val="24"/>
          <w:szCs w:val="24"/>
        </w:rPr>
        <w:t xml:space="preserve">the </w:t>
      </w:r>
      <w:r w:rsidRPr="003E4E96">
        <w:rPr>
          <w:rFonts w:ascii="Gill Sans MT" w:hAnsi="Gill Sans MT"/>
          <w:sz w:val="24"/>
          <w:szCs w:val="24"/>
        </w:rPr>
        <w:t xml:space="preserve">guidance </w:t>
      </w:r>
      <w:r>
        <w:rPr>
          <w:rFonts w:ascii="Gill Sans MT" w:hAnsi="Gill Sans MT"/>
          <w:sz w:val="24"/>
          <w:szCs w:val="24"/>
        </w:rPr>
        <w:t>to</w:t>
      </w:r>
      <w:r w:rsidRPr="003E4E96">
        <w:rPr>
          <w:rFonts w:ascii="Gill Sans MT" w:hAnsi="Gill Sans MT"/>
          <w:sz w:val="24"/>
          <w:szCs w:val="24"/>
        </w:rPr>
        <w:t xml:space="preserve"> deal with historic landscape issues. Unlike historic buildings this is an area where there is little good and relevant guidance about how to approach issues of historic landscapes (other than setting of designed landscapes). A section on this would be very helpful.</w:t>
      </w:r>
    </w:p>
    <w:sectPr w:rsidR="003E4E96" w:rsidRPr="003E4E96" w:rsidSect="00B050F1">
      <w:pgSz w:w="11906" w:h="16838"/>
      <w:pgMar w:top="993"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BFB"/>
    <w:multiLevelType w:val="hybridMultilevel"/>
    <w:tmpl w:val="5282B3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5762AD5"/>
    <w:multiLevelType w:val="hybridMultilevel"/>
    <w:tmpl w:val="E4587F7C"/>
    <w:lvl w:ilvl="0" w:tplc="A9107C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A7E2D"/>
    <w:multiLevelType w:val="hybridMultilevel"/>
    <w:tmpl w:val="B0F2A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27348"/>
    <w:multiLevelType w:val="hybridMultilevel"/>
    <w:tmpl w:val="E2AC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12C08"/>
    <w:multiLevelType w:val="hybridMultilevel"/>
    <w:tmpl w:val="D4B60508"/>
    <w:lvl w:ilvl="0" w:tplc="A9107C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63CEE"/>
    <w:multiLevelType w:val="hybridMultilevel"/>
    <w:tmpl w:val="3732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CB43B8"/>
    <w:multiLevelType w:val="hybridMultilevel"/>
    <w:tmpl w:val="42A4E26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F7CFA"/>
    <w:multiLevelType w:val="hybridMultilevel"/>
    <w:tmpl w:val="AE403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64F1D"/>
    <w:multiLevelType w:val="hybridMultilevel"/>
    <w:tmpl w:val="3964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F6A73"/>
    <w:multiLevelType w:val="hybridMultilevel"/>
    <w:tmpl w:val="CC44F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4"/>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BF"/>
    <w:rsid w:val="00016705"/>
    <w:rsid w:val="00037057"/>
    <w:rsid w:val="0006100F"/>
    <w:rsid w:val="00066A6E"/>
    <w:rsid w:val="000A093A"/>
    <w:rsid w:val="002078E3"/>
    <w:rsid w:val="00253191"/>
    <w:rsid w:val="0025667F"/>
    <w:rsid w:val="00260E30"/>
    <w:rsid w:val="00284D15"/>
    <w:rsid w:val="0029148E"/>
    <w:rsid w:val="00295A6D"/>
    <w:rsid w:val="002E672C"/>
    <w:rsid w:val="002F57AA"/>
    <w:rsid w:val="0031040B"/>
    <w:rsid w:val="00337E78"/>
    <w:rsid w:val="00346A3F"/>
    <w:rsid w:val="00374B2D"/>
    <w:rsid w:val="003B6790"/>
    <w:rsid w:val="003E4E96"/>
    <w:rsid w:val="003F4E77"/>
    <w:rsid w:val="00444ABF"/>
    <w:rsid w:val="004834B7"/>
    <w:rsid w:val="00496C9C"/>
    <w:rsid w:val="00607D09"/>
    <w:rsid w:val="00696783"/>
    <w:rsid w:val="006E7D69"/>
    <w:rsid w:val="00741013"/>
    <w:rsid w:val="0076323C"/>
    <w:rsid w:val="00786F73"/>
    <w:rsid w:val="00826A80"/>
    <w:rsid w:val="00840B21"/>
    <w:rsid w:val="00880FB3"/>
    <w:rsid w:val="008B6FF4"/>
    <w:rsid w:val="008D37E8"/>
    <w:rsid w:val="00912036"/>
    <w:rsid w:val="00950674"/>
    <w:rsid w:val="00970042"/>
    <w:rsid w:val="00992BAC"/>
    <w:rsid w:val="009B0AC2"/>
    <w:rsid w:val="009B53E4"/>
    <w:rsid w:val="00AE5FCD"/>
    <w:rsid w:val="00B03A69"/>
    <w:rsid w:val="00B050F1"/>
    <w:rsid w:val="00B67288"/>
    <w:rsid w:val="00BF082C"/>
    <w:rsid w:val="00CD1849"/>
    <w:rsid w:val="00CE7C1F"/>
    <w:rsid w:val="00D263B6"/>
    <w:rsid w:val="00DF1625"/>
    <w:rsid w:val="00E007FB"/>
    <w:rsid w:val="00E363BC"/>
    <w:rsid w:val="00E716CB"/>
    <w:rsid w:val="00EC5B24"/>
    <w:rsid w:val="00EE2386"/>
    <w:rsid w:val="00EE7920"/>
    <w:rsid w:val="00F405BF"/>
    <w:rsid w:val="00F6313B"/>
    <w:rsid w:val="00F721C9"/>
    <w:rsid w:val="00FB6B9F"/>
    <w:rsid w:val="00FD74DC"/>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F12E"/>
  <w15:docId w15:val="{279E1659-EFE9-445D-9C2A-7AF3ECC5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ABF"/>
    <w:pPr>
      <w:ind w:left="720"/>
      <w:contextualSpacing/>
    </w:pPr>
  </w:style>
  <w:style w:type="paragraph" w:styleId="BalloonText">
    <w:name w:val="Balloon Text"/>
    <w:basedOn w:val="Normal"/>
    <w:link w:val="BalloonTextChar"/>
    <w:uiPriority w:val="99"/>
    <w:semiHidden/>
    <w:unhideWhenUsed/>
    <w:rsid w:val="0082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Guy</dc:creator>
  <cp:lastModifiedBy>Tim Howard</cp:lastModifiedBy>
  <cp:revision>4</cp:revision>
  <dcterms:created xsi:type="dcterms:W3CDTF">2017-09-28T14:59:00Z</dcterms:created>
  <dcterms:modified xsi:type="dcterms:W3CDTF">2017-09-28T15:14:00Z</dcterms:modified>
</cp:coreProperties>
</file>